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9"/>
        <w:rPr>
          <w:rFonts w:ascii="Times New Roman"/>
        </w:rPr>
      </w:pPr>
    </w:p>
    <w:p>
      <w:pPr>
        <w:spacing w:line="357" w:lineRule="auto" w:before="0"/>
        <w:ind w:left="1929" w:right="2619" w:firstLine="357"/>
        <w:jc w:val="left"/>
        <w:rPr>
          <w:b/>
          <w:sz w:val="18"/>
        </w:rPr>
      </w:pPr>
      <w:r>
        <w:rPr/>
        <w:drawing>
          <wp:anchor distT="0" distB="0" distL="0" distR="0" allowOverlap="1" layoutInCell="1" locked="0" behindDoc="1" simplePos="0" relativeHeight="487525376">
            <wp:simplePos x="0" y="0"/>
            <wp:positionH relativeFrom="page">
              <wp:posOffset>1189173</wp:posOffset>
            </wp:positionH>
            <wp:positionV relativeFrom="paragraph">
              <wp:posOffset>-580711</wp:posOffset>
            </wp:positionV>
            <wp:extent cx="4983707" cy="48440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983707" cy="4844075"/>
                    </a:xfrm>
                    <a:prstGeom prst="rect">
                      <a:avLst/>
                    </a:prstGeom>
                  </pic:spPr>
                </pic:pic>
              </a:graphicData>
            </a:graphic>
          </wp:anchor>
        </w:drawing>
      </w:r>
      <w:r>
        <w:rPr>
          <w:b/>
          <w:sz w:val="18"/>
        </w:rPr>
        <w:t>INFORME DEL AUDITOR INDEPENDIENTE</w:t>
      </w:r>
      <w:r>
        <w:rPr>
          <w:b/>
          <w:spacing w:val="40"/>
          <w:sz w:val="18"/>
        </w:rPr>
        <w:t> </w:t>
      </w:r>
      <w:r>
        <w:rPr>
          <w:b/>
          <w:sz w:val="18"/>
        </w:rPr>
        <w:t>DE</w:t>
      </w:r>
      <w:r>
        <w:rPr>
          <w:b/>
          <w:spacing w:val="-9"/>
          <w:sz w:val="18"/>
        </w:rPr>
        <w:t> </w:t>
      </w:r>
      <w:r>
        <w:rPr>
          <w:b/>
          <w:sz w:val="18"/>
        </w:rPr>
        <w:t>ACUERDO</w:t>
      </w:r>
      <w:r>
        <w:rPr>
          <w:b/>
          <w:spacing w:val="-8"/>
          <w:sz w:val="18"/>
        </w:rPr>
        <w:t> </w:t>
      </w:r>
      <w:r>
        <w:rPr>
          <w:b/>
          <w:sz w:val="18"/>
        </w:rPr>
        <w:t>CON</w:t>
      </w:r>
      <w:r>
        <w:rPr>
          <w:b/>
          <w:spacing w:val="-9"/>
          <w:sz w:val="18"/>
        </w:rPr>
        <w:t> </w:t>
      </w:r>
      <w:r>
        <w:rPr>
          <w:b/>
          <w:sz w:val="18"/>
        </w:rPr>
        <w:t>NORMAS</w:t>
      </w:r>
      <w:r>
        <w:rPr>
          <w:b/>
          <w:spacing w:val="-9"/>
          <w:sz w:val="18"/>
        </w:rPr>
        <w:t> </w:t>
      </w:r>
      <w:r>
        <w:rPr>
          <w:b/>
          <w:sz w:val="18"/>
        </w:rPr>
        <w:t>INTERNACIONALES</w:t>
      </w:r>
    </w:p>
    <w:p>
      <w:pPr>
        <w:spacing w:before="5"/>
        <w:ind w:left="3244" w:right="0" w:firstLine="0"/>
        <w:jc w:val="left"/>
        <w:rPr>
          <w:b/>
          <w:sz w:val="18"/>
        </w:rPr>
      </w:pPr>
      <w:r>
        <w:rPr>
          <w:b/>
          <w:sz w:val="18"/>
        </w:rPr>
        <w:t>DE</w:t>
      </w:r>
      <w:r>
        <w:rPr>
          <w:b/>
          <w:spacing w:val="-1"/>
          <w:sz w:val="18"/>
        </w:rPr>
        <w:t> </w:t>
      </w:r>
      <w:r>
        <w:rPr>
          <w:b/>
          <w:spacing w:val="-2"/>
          <w:sz w:val="18"/>
        </w:rPr>
        <w:t>AUDITORIA</w:t>
      </w:r>
    </w:p>
    <w:p>
      <w:pPr>
        <w:spacing w:before="114"/>
        <w:ind w:left="1655" w:right="0" w:firstLine="0"/>
        <w:jc w:val="left"/>
        <w:rPr>
          <w:b/>
          <w:sz w:val="18"/>
        </w:rPr>
      </w:pPr>
      <w:r>
        <w:rPr>
          <w:b/>
          <w:sz w:val="18"/>
        </w:rPr>
        <w:t>COLEGIO</w:t>
      </w:r>
      <w:r>
        <w:rPr>
          <w:b/>
          <w:spacing w:val="-4"/>
          <w:sz w:val="18"/>
        </w:rPr>
        <w:t> </w:t>
      </w:r>
      <w:r>
        <w:rPr>
          <w:b/>
          <w:sz w:val="18"/>
        </w:rPr>
        <w:t>OFICIAL</w:t>
      </w:r>
      <w:r>
        <w:rPr>
          <w:b/>
          <w:spacing w:val="-3"/>
          <w:sz w:val="18"/>
        </w:rPr>
        <w:t> </w:t>
      </w:r>
      <w:r>
        <w:rPr>
          <w:b/>
          <w:sz w:val="18"/>
        </w:rPr>
        <w:t>DE</w:t>
      </w:r>
      <w:r>
        <w:rPr>
          <w:b/>
          <w:spacing w:val="-2"/>
          <w:sz w:val="18"/>
        </w:rPr>
        <w:t> </w:t>
      </w:r>
      <w:r>
        <w:rPr>
          <w:b/>
          <w:sz w:val="18"/>
        </w:rPr>
        <w:t>FARMACÉUTICOS</w:t>
      </w:r>
      <w:r>
        <w:rPr>
          <w:b/>
          <w:spacing w:val="-7"/>
          <w:sz w:val="18"/>
        </w:rPr>
        <w:t> </w:t>
      </w:r>
      <w:r>
        <w:rPr>
          <w:b/>
          <w:sz w:val="18"/>
        </w:rPr>
        <w:t>DE</w:t>
      </w:r>
      <w:r>
        <w:rPr>
          <w:b/>
          <w:spacing w:val="-2"/>
          <w:sz w:val="18"/>
        </w:rPr>
        <w:t> </w:t>
      </w:r>
      <w:r>
        <w:rPr>
          <w:b/>
          <w:sz w:val="18"/>
        </w:rPr>
        <w:t>LAS</w:t>
      </w:r>
      <w:r>
        <w:rPr>
          <w:b/>
          <w:spacing w:val="-2"/>
          <w:sz w:val="18"/>
        </w:rPr>
        <w:t> PALMAS</w:t>
      </w:r>
    </w:p>
    <w:p>
      <w:pPr>
        <w:spacing w:before="115"/>
        <w:ind w:left="0" w:right="1125" w:firstLine="0"/>
        <w:jc w:val="center"/>
        <w:rPr>
          <w:b/>
          <w:sz w:val="18"/>
        </w:rPr>
      </w:pPr>
      <w:r>
        <w:rPr>
          <w:b/>
          <w:sz w:val="18"/>
        </w:rPr>
        <w:t>EJERCICIO</w:t>
      </w:r>
      <w:r>
        <w:rPr>
          <w:b/>
          <w:spacing w:val="-2"/>
          <w:sz w:val="18"/>
        </w:rPr>
        <w:t> </w:t>
      </w:r>
      <w:r>
        <w:rPr>
          <w:b/>
          <w:spacing w:val="-4"/>
          <w:sz w:val="18"/>
        </w:rPr>
        <w:t>2024</w:t>
      </w:r>
    </w:p>
    <w:p>
      <w:pPr>
        <w:spacing w:after="0"/>
        <w:jc w:val="center"/>
        <w:rPr>
          <w:sz w:val="18"/>
        </w:rPr>
        <w:sectPr>
          <w:headerReference w:type="default" r:id="rId5"/>
          <w:footerReference w:type="default" r:id="rId6"/>
          <w:type w:val="continuous"/>
          <w:pgSz w:w="11910" w:h="16840"/>
          <w:pgMar w:header="804" w:footer="1529" w:top="2000" w:bottom="1720" w:left="1680" w:right="1580"/>
          <w:pgNumType w:start="1"/>
        </w:sectPr>
      </w:pPr>
    </w:p>
    <w:p>
      <w:pPr>
        <w:pStyle w:val="BodyText"/>
        <w:spacing w:before="170"/>
        <w:rPr>
          <w:b/>
        </w:rPr>
      </w:pPr>
    </w:p>
    <w:p>
      <w:pPr>
        <w:spacing w:line="276" w:lineRule="auto" w:before="0"/>
        <w:ind w:left="3823" w:right="0" w:hanging="3449"/>
        <w:jc w:val="left"/>
        <w:rPr>
          <w:b/>
          <w:sz w:val="18"/>
        </w:rPr>
      </w:pPr>
      <w:r>
        <w:rPr>
          <w:b/>
          <w:sz w:val="18"/>
        </w:rPr>
        <w:t>INFORME</w:t>
      </w:r>
      <w:r>
        <w:rPr>
          <w:b/>
          <w:spacing w:val="-4"/>
          <w:sz w:val="18"/>
        </w:rPr>
        <w:t> </w:t>
      </w:r>
      <w:r>
        <w:rPr>
          <w:b/>
          <w:sz w:val="18"/>
        </w:rPr>
        <w:t>DEL</w:t>
      </w:r>
      <w:r>
        <w:rPr>
          <w:b/>
          <w:spacing w:val="-5"/>
          <w:sz w:val="18"/>
        </w:rPr>
        <w:t> </w:t>
      </w:r>
      <w:r>
        <w:rPr>
          <w:b/>
          <w:sz w:val="18"/>
        </w:rPr>
        <w:t>AUDITOR</w:t>
      </w:r>
      <w:r>
        <w:rPr>
          <w:b/>
          <w:spacing w:val="-4"/>
          <w:sz w:val="18"/>
        </w:rPr>
        <w:t> </w:t>
      </w:r>
      <w:r>
        <w:rPr>
          <w:b/>
          <w:sz w:val="18"/>
        </w:rPr>
        <w:t>INDEPENDIENTE</w:t>
      </w:r>
      <w:r>
        <w:rPr>
          <w:b/>
          <w:spacing w:val="-4"/>
          <w:sz w:val="18"/>
        </w:rPr>
        <w:t> </w:t>
      </w:r>
      <w:r>
        <w:rPr>
          <w:b/>
          <w:sz w:val="18"/>
        </w:rPr>
        <w:t>DE</w:t>
      </w:r>
      <w:r>
        <w:rPr>
          <w:b/>
          <w:spacing w:val="-4"/>
          <w:sz w:val="18"/>
        </w:rPr>
        <w:t> </w:t>
      </w:r>
      <w:r>
        <w:rPr>
          <w:b/>
          <w:sz w:val="18"/>
        </w:rPr>
        <w:t>ACUERDO</w:t>
      </w:r>
      <w:r>
        <w:rPr>
          <w:b/>
          <w:spacing w:val="-3"/>
          <w:sz w:val="18"/>
        </w:rPr>
        <w:t> </w:t>
      </w:r>
      <w:r>
        <w:rPr>
          <w:b/>
          <w:sz w:val="18"/>
        </w:rPr>
        <w:t>CON</w:t>
      </w:r>
      <w:r>
        <w:rPr>
          <w:b/>
          <w:spacing w:val="-4"/>
          <w:sz w:val="18"/>
        </w:rPr>
        <w:t> </w:t>
      </w:r>
      <w:r>
        <w:rPr>
          <w:b/>
          <w:sz w:val="18"/>
        </w:rPr>
        <w:t>NORMAS</w:t>
      </w:r>
      <w:r>
        <w:rPr>
          <w:b/>
          <w:spacing w:val="-4"/>
          <w:sz w:val="18"/>
        </w:rPr>
        <w:t> </w:t>
      </w:r>
      <w:r>
        <w:rPr>
          <w:b/>
          <w:sz w:val="18"/>
        </w:rPr>
        <w:t>INTERNACIONALES</w:t>
      </w:r>
      <w:r>
        <w:rPr>
          <w:b/>
          <w:spacing w:val="-4"/>
          <w:sz w:val="18"/>
        </w:rPr>
        <w:t> </w:t>
      </w:r>
      <w:r>
        <w:rPr>
          <w:b/>
          <w:sz w:val="18"/>
        </w:rPr>
        <w:t>DE </w:t>
      </w:r>
      <w:r>
        <w:rPr>
          <w:b/>
          <w:spacing w:val="-2"/>
          <w:sz w:val="18"/>
        </w:rPr>
        <w:t>AUDITORÍA.</w:t>
      </w:r>
    </w:p>
    <w:p>
      <w:pPr>
        <w:pStyle w:val="BodyText"/>
        <w:spacing w:before="210"/>
        <w:rPr>
          <w:b/>
        </w:rPr>
      </w:pPr>
    </w:p>
    <w:p>
      <w:pPr>
        <w:pStyle w:val="BodyText"/>
        <w:spacing w:before="1"/>
        <w:ind w:left="163"/>
      </w:pPr>
      <w:r>
        <w:rPr/>
        <w:t>A</w:t>
      </w:r>
      <w:r>
        <w:rPr>
          <w:spacing w:val="-5"/>
        </w:rPr>
        <w:t> </w:t>
      </w:r>
      <w:r>
        <w:rPr/>
        <w:t>la</w:t>
      </w:r>
      <w:r>
        <w:rPr>
          <w:spacing w:val="-3"/>
        </w:rPr>
        <w:t> </w:t>
      </w:r>
      <w:r>
        <w:rPr/>
        <w:t>Junta</w:t>
      </w:r>
      <w:r>
        <w:rPr>
          <w:spacing w:val="-3"/>
        </w:rPr>
        <w:t> </w:t>
      </w:r>
      <w:r>
        <w:rPr/>
        <w:t>General</w:t>
      </w:r>
      <w:r>
        <w:rPr>
          <w:spacing w:val="-3"/>
        </w:rPr>
        <w:t> </w:t>
      </w:r>
      <w:r>
        <w:rPr/>
        <w:t>del</w:t>
      </w:r>
      <w:r>
        <w:rPr>
          <w:spacing w:val="-3"/>
        </w:rPr>
        <w:t> </w:t>
      </w:r>
      <w:r>
        <w:rPr/>
        <w:t>Colegio Oficial</w:t>
      </w:r>
      <w:r>
        <w:rPr>
          <w:spacing w:val="-3"/>
        </w:rPr>
        <w:t> </w:t>
      </w:r>
      <w:r>
        <w:rPr/>
        <w:t>de</w:t>
      </w:r>
      <w:r>
        <w:rPr>
          <w:spacing w:val="-5"/>
        </w:rPr>
        <w:t> </w:t>
      </w:r>
      <w:r>
        <w:rPr/>
        <w:t>Farmacéuticos</w:t>
      </w:r>
      <w:r>
        <w:rPr>
          <w:spacing w:val="-2"/>
        </w:rPr>
        <w:t> </w:t>
      </w:r>
      <w:r>
        <w:rPr/>
        <w:t>de</w:t>
      </w:r>
      <w:r>
        <w:rPr>
          <w:spacing w:val="-3"/>
        </w:rPr>
        <w:t> </w:t>
      </w:r>
      <w:r>
        <w:rPr/>
        <w:t>Las</w:t>
      </w:r>
      <w:r>
        <w:rPr>
          <w:spacing w:val="-2"/>
        </w:rPr>
        <w:t> </w:t>
      </w:r>
      <w:r>
        <w:rPr/>
        <w:t>Palmas</w:t>
      </w:r>
      <w:r>
        <w:rPr>
          <w:spacing w:val="-4"/>
        </w:rPr>
        <w:t> </w:t>
      </w:r>
      <w:r>
        <w:rPr>
          <w:spacing w:val="-2"/>
        </w:rPr>
        <w:t>(COFLP)</w:t>
      </w:r>
    </w:p>
    <w:p>
      <w:pPr>
        <w:pStyle w:val="BodyText"/>
        <w:spacing w:before="33"/>
      </w:pPr>
    </w:p>
    <w:p>
      <w:pPr>
        <w:pStyle w:val="Heading1"/>
      </w:pPr>
      <w:r>
        <w:rPr>
          <w:spacing w:val="-2"/>
        </w:rPr>
        <w:t>Opinión</w:t>
      </w:r>
    </w:p>
    <w:p>
      <w:pPr>
        <w:pStyle w:val="BodyText"/>
        <w:spacing w:line="276" w:lineRule="auto" w:before="153"/>
        <w:ind w:left="162" w:right="116"/>
        <w:jc w:val="both"/>
      </w:pPr>
      <w:r>
        <w:rPr/>
        <w:drawing>
          <wp:anchor distT="0" distB="0" distL="0" distR="0" allowOverlap="1" layoutInCell="1" locked="0" behindDoc="1" simplePos="0" relativeHeight="487525888">
            <wp:simplePos x="0" y="0"/>
            <wp:positionH relativeFrom="page">
              <wp:posOffset>1189173</wp:posOffset>
            </wp:positionH>
            <wp:positionV relativeFrom="paragraph">
              <wp:posOffset>508089</wp:posOffset>
            </wp:positionV>
            <wp:extent cx="4983707" cy="484407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983707" cy="4844075"/>
                    </a:xfrm>
                    <a:prstGeom prst="rect">
                      <a:avLst/>
                    </a:prstGeom>
                  </pic:spPr>
                </pic:pic>
              </a:graphicData>
            </a:graphic>
          </wp:anchor>
        </w:drawing>
      </w:r>
      <w:r>
        <w:rPr/>
        <w:t>Hemos auditado los estados financieros del </w:t>
      </w:r>
      <w:r>
        <w:rPr>
          <w:b/>
        </w:rPr>
        <w:t>COLEGIO OFICIAL DE FARMACÉUTICOS DE LAS PALMAS (el Colegio)</w:t>
      </w:r>
      <w:r>
        <w:rPr/>
        <w:t>, que comprenden el estado de situación financiera a 31 de diciembre de 2024, la cuenta de resultados, correspondientes al ejercicio terminado en dicha fecha, así como las notas explicativas de los estados financieros que incluyen un resumen de las políticas contables significativas y otra información </w:t>
      </w:r>
      <w:r>
        <w:rPr>
          <w:spacing w:val="-2"/>
        </w:rPr>
        <w:t>explicativa.</w:t>
      </w:r>
    </w:p>
    <w:p>
      <w:pPr>
        <w:pStyle w:val="BodyText"/>
        <w:spacing w:line="276" w:lineRule="auto" w:before="121"/>
        <w:ind w:left="162" w:right="114"/>
        <w:jc w:val="both"/>
      </w:pPr>
      <w:r>
        <w:rPr/>
        <w:t>En</w:t>
      </w:r>
      <w:r>
        <w:rPr>
          <w:spacing w:val="-6"/>
        </w:rPr>
        <w:t> </w:t>
      </w:r>
      <w:r>
        <w:rPr/>
        <w:t>nuestra</w:t>
      </w:r>
      <w:r>
        <w:rPr>
          <w:spacing w:val="-5"/>
        </w:rPr>
        <w:t> </w:t>
      </w:r>
      <w:r>
        <w:rPr/>
        <w:t>opinión,</w:t>
      </w:r>
      <w:r>
        <w:rPr>
          <w:spacing w:val="-5"/>
        </w:rPr>
        <w:t> </w:t>
      </w:r>
      <w:r>
        <w:rPr/>
        <w:t>los</w:t>
      </w:r>
      <w:r>
        <w:rPr>
          <w:spacing w:val="-4"/>
        </w:rPr>
        <w:t> </w:t>
      </w:r>
      <w:r>
        <w:rPr/>
        <w:t>estados</w:t>
      </w:r>
      <w:r>
        <w:rPr>
          <w:spacing w:val="-4"/>
        </w:rPr>
        <w:t> </w:t>
      </w:r>
      <w:r>
        <w:rPr/>
        <w:t>financieros</w:t>
      </w:r>
      <w:r>
        <w:rPr>
          <w:spacing w:val="-4"/>
        </w:rPr>
        <w:t> </w:t>
      </w:r>
      <w:r>
        <w:rPr/>
        <w:t>adjuntos</w:t>
      </w:r>
      <w:r>
        <w:rPr>
          <w:spacing w:val="-4"/>
        </w:rPr>
        <w:t> </w:t>
      </w:r>
      <w:r>
        <w:rPr/>
        <w:t>expresan,</w:t>
      </w:r>
      <w:r>
        <w:rPr>
          <w:spacing w:val="-4"/>
        </w:rPr>
        <w:t> </w:t>
      </w:r>
      <w:r>
        <w:rPr/>
        <w:t>en</w:t>
      </w:r>
      <w:r>
        <w:rPr>
          <w:spacing w:val="-6"/>
        </w:rPr>
        <w:t> </w:t>
      </w:r>
      <w:r>
        <w:rPr/>
        <w:t>todos</w:t>
      </w:r>
      <w:r>
        <w:rPr>
          <w:spacing w:val="-4"/>
        </w:rPr>
        <w:t> </w:t>
      </w:r>
      <w:r>
        <w:rPr/>
        <w:t>los</w:t>
      </w:r>
      <w:r>
        <w:rPr>
          <w:spacing w:val="-7"/>
        </w:rPr>
        <w:t> </w:t>
      </w:r>
      <w:r>
        <w:rPr/>
        <w:t>aspectos</w:t>
      </w:r>
      <w:r>
        <w:rPr>
          <w:spacing w:val="-7"/>
        </w:rPr>
        <w:t> </w:t>
      </w:r>
      <w:r>
        <w:rPr/>
        <w:t>materiales,</w:t>
      </w:r>
      <w:r>
        <w:rPr>
          <w:spacing w:val="-5"/>
        </w:rPr>
        <w:t> </w:t>
      </w:r>
      <w:r>
        <w:rPr/>
        <w:t>la</w:t>
      </w:r>
      <w:r>
        <w:rPr>
          <w:spacing w:val="-5"/>
        </w:rPr>
        <w:t> </w:t>
      </w:r>
      <w:r>
        <w:rPr/>
        <w:t>imagen fiel de la situación financiera del Colegio a 31 de diciembre de 2024, así como de sus resultados correspondientes al ejercicio terminado en dicha fecha, de conformidad con las Normas de Información Financiera aplicado por la Entidad (nota 2 de la memoria adjunta).</w:t>
      </w:r>
    </w:p>
    <w:p>
      <w:pPr>
        <w:pStyle w:val="BodyText"/>
        <w:spacing w:before="116"/>
      </w:pPr>
    </w:p>
    <w:p>
      <w:pPr>
        <w:pStyle w:val="Heading1"/>
        <w:ind w:left="162"/>
      </w:pPr>
      <w:r>
        <w:rPr/>
        <w:t>Fundamento</w:t>
      </w:r>
      <w:r>
        <w:rPr>
          <w:spacing w:val="-4"/>
        </w:rPr>
        <w:t> </w:t>
      </w:r>
      <w:r>
        <w:rPr/>
        <w:t>de</w:t>
      </w:r>
      <w:r>
        <w:rPr>
          <w:spacing w:val="-1"/>
        </w:rPr>
        <w:t> </w:t>
      </w:r>
      <w:r>
        <w:rPr/>
        <w:t>la</w:t>
      </w:r>
      <w:r>
        <w:rPr>
          <w:spacing w:val="-2"/>
        </w:rPr>
        <w:t> opinión</w:t>
      </w:r>
    </w:p>
    <w:p>
      <w:pPr>
        <w:pStyle w:val="BodyText"/>
        <w:spacing w:line="276" w:lineRule="auto" w:before="153"/>
        <w:ind w:left="162" w:right="118"/>
        <w:jc w:val="both"/>
      </w:pPr>
      <w:r>
        <w:rPr/>
        <w:t>Hemos</w:t>
      </w:r>
      <w:r>
        <w:rPr>
          <w:spacing w:val="-13"/>
        </w:rPr>
        <w:t> </w:t>
      </w:r>
      <w:r>
        <w:rPr/>
        <w:t>llevado</w:t>
      </w:r>
      <w:r>
        <w:rPr>
          <w:spacing w:val="-12"/>
        </w:rPr>
        <w:t> </w:t>
      </w:r>
      <w:r>
        <w:rPr/>
        <w:t>a</w:t>
      </w:r>
      <w:r>
        <w:rPr>
          <w:spacing w:val="-12"/>
        </w:rPr>
        <w:t> </w:t>
      </w:r>
      <w:r>
        <w:rPr/>
        <w:t>cabo</w:t>
      </w:r>
      <w:r>
        <w:rPr>
          <w:spacing w:val="-13"/>
        </w:rPr>
        <w:t> </w:t>
      </w:r>
      <w:r>
        <w:rPr/>
        <w:t>nuestra</w:t>
      </w:r>
      <w:r>
        <w:rPr>
          <w:spacing w:val="-12"/>
        </w:rPr>
        <w:t> </w:t>
      </w:r>
      <w:r>
        <w:rPr/>
        <w:t>auditoría</w:t>
      </w:r>
      <w:r>
        <w:rPr>
          <w:spacing w:val="-12"/>
        </w:rPr>
        <w:t> </w:t>
      </w:r>
      <w:r>
        <w:rPr/>
        <w:t>de</w:t>
      </w:r>
      <w:r>
        <w:rPr>
          <w:spacing w:val="-13"/>
        </w:rPr>
        <w:t> </w:t>
      </w:r>
      <w:r>
        <w:rPr/>
        <w:t>conformidad</w:t>
      </w:r>
      <w:r>
        <w:rPr>
          <w:spacing w:val="-12"/>
        </w:rPr>
        <w:t> </w:t>
      </w:r>
      <w:r>
        <w:rPr/>
        <w:t>con</w:t>
      </w:r>
      <w:r>
        <w:rPr>
          <w:spacing w:val="-12"/>
        </w:rPr>
        <w:t> </w:t>
      </w:r>
      <w:r>
        <w:rPr/>
        <w:t>las</w:t>
      </w:r>
      <w:r>
        <w:rPr>
          <w:spacing w:val="-13"/>
        </w:rPr>
        <w:t> </w:t>
      </w:r>
      <w:r>
        <w:rPr/>
        <w:t>Normas</w:t>
      </w:r>
      <w:r>
        <w:rPr>
          <w:spacing w:val="-12"/>
        </w:rPr>
        <w:t> </w:t>
      </w:r>
      <w:r>
        <w:rPr/>
        <w:t>Internacionales</w:t>
      </w:r>
      <w:r>
        <w:rPr>
          <w:spacing w:val="-12"/>
        </w:rPr>
        <w:t> </w:t>
      </w:r>
      <w:r>
        <w:rPr/>
        <w:t>de</w:t>
      </w:r>
      <w:r>
        <w:rPr>
          <w:spacing w:val="-13"/>
        </w:rPr>
        <w:t> </w:t>
      </w:r>
      <w:r>
        <w:rPr/>
        <w:t>Auditoría</w:t>
      </w:r>
      <w:r>
        <w:rPr>
          <w:spacing w:val="-12"/>
        </w:rPr>
        <w:t> </w:t>
      </w:r>
      <w:r>
        <w:rPr/>
        <w:t>(NIA). Nuestras responsabilidades de acuerdo con dichas normas se describen más adelante en la sección Responsabilidades del auditor en relación con la auditoría de los estados financieros de nuestro informe.</w:t>
      </w:r>
    </w:p>
    <w:p>
      <w:pPr>
        <w:pStyle w:val="BodyText"/>
        <w:spacing w:line="276" w:lineRule="auto" w:before="121"/>
        <w:ind w:left="162" w:right="119"/>
        <w:jc w:val="both"/>
      </w:pPr>
      <w:r>
        <w:rPr/>
        <w:t>Somos independientes del Colegio de conformidad con los requerimientos de ética aplicables a nuestra auditoría</w:t>
      </w:r>
      <w:r>
        <w:rPr>
          <w:spacing w:val="-8"/>
        </w:rPr>
        <w:t> </w:t>
      </w:r>
      <w:r>
        <w:rPr/>
        <w:t>de</w:t>
      </w:r>
      <w:r>
        <w:rPr>
          <w:spacing w:val="-8"/>
        </w:rPr>
        <w:t> </w:t>
      </w:r>
      <w:r>
        <w:rPr/>
        <w:t>los</w:t>
      </w:r>
      <w:r>
        <w:rPr>
          <w:spacing w:val="-7"/>
        </w:rPr>
        <w:t> </w:t>
      </w:r>
      <w:r>
        <w:rPr/>
        <w:t>estados</w:t>
      </w:r>
      <w:r>
        <w:rPr>
          <w:spacing w:val="-7"/>
        </w:rPr>
        <w:t> </w:t>
      </w:r>
      <w:r>
        <w:rPr/>
        <w:t>financieros</w:t>
      </w:r>
      <w:r>
        <w:rPr>
          <w:spacing w:val="-7"/>
        </w:rPr>
        <w:t> </w:t>
      </w:r>
      <w:r>
        <w:rPr/>
        <w:t>en</w:t>
      </w:r>
      <w:r>
        <w:rPr>
          <w:spacing w:val="-8"/>
        </w:rPr>
        <w:t> </w:t>
      </w:r>
      <w:r>
        <w:rPr/>
        <w:t>España,</w:t>
      </w:r>
      <w:r>
        <w:rPr>
          <w:spacing w:val="-8"/>
        </w:rPr>
        <w:t> </w:t>
      </w:r>
      <w:r>
        <w:rPr/>
        <w:t>y</w:t>
      </w:r>
      <w:r>
        <w:rPr>
          <w:spacing w:val="-8"/>
        </w:rPr>
        <w:t> </w:t>
      </w:r>
      <w:r>
        <w:rPr/>
        <w:t>hemos</w:t>
      </w:r>
      <w:r>
        <w:rPr>
          <w:spacing w:val="-7"/>
        </w:rPr>
        <w:t> </w:t>
      </w:r>
      <w:r>
        <w:rPr/>
        <w:t>cumplido</w:t>
      </w:r>
      <w:r>
        <w:rPr>
          <w:spacing w:val="-7"/>
        </w:rPr>
        <w:t> </w:t>
      </w:r>
      <w:r>
        <w:rPr/>
        <w:t>las</w:t>
      </w:r>
      <w:r>
        <w:rPr>
          <w:spacing w:val="-7"/>
        </w:rPr>
        <w:t> </w:t>
      </w:r>
      <w:r>
        <w:rPr/>
        <w:t>demás</w:t>
      </w:r>
      <w:r>
        <w:rPr>
          <w:spacing w:val="-7"/>
        </w:rPr>
        <w:t> </w:t>
      </w:r>
      <w:r>
        <w:rPr/>
        <w:t>responsabilidades</w:t>
      </w:r>
      <w:r>
        <w:rPr>
          <w:spacing w:val="-7"/>
        </w:rPr>
        <w:t> </w:t>
      </w:r>
      <w:r>
        <w:rPr/>
        <w:t>de</w:t>
      </w:r>
      <w:r>
        <w:rPr>
          <w:spacing w:val="-8"/>
        </w:rPr>
        <w:t> </w:t>
      </w:r>
      <w:r>
        <w:rPr/>
        <w:t>ética</w:t>
      </w:r>
      <w:r>
        <w:rPr>
          <w:spacing w:val="-8"/>
        </w:rPr>
        <w:t> </w:t>
      </w:r>
      <w:r>
        <w:rPr/>
        <w:t>de conformidad con esos requerimientos.</w:t>
      </w:r>
    </w:p>
    <w:p>
      <w:pPr>
        <w:pStyle w:val="BodyText"/>
        <w:spacing w:line="276" w:lineRule="auto" w:before="119"/>
        <w:ind w:left="162" w:right="118"/>
        <w:jc w:val="both"/>
      </w:pPr>
      <w:r>
        <w:rPr/>
        <w:t>Consideramos que la evidencia de auditoría que hemos obtenido proporciona una base suficiente y adecuada para nuestra opinión.</w:t>
      </w:r>
    </w:p>
    <w:p>
      <w:pPr>
        <w:pStyle w:val="BodyText"/>
        <w:spacing w:before="117"/>
      </w:pPr>
    </w:p>
    <w:p>
      <w:pPr>
        <w:pStyle w:val="Heading1"/>
        <w:ind w:left="162"/>
      </w:pPr>
      <w:r>
        <w:rPr/>
        <w:t>Otras</w:t>
      </w:r>
      <w:r>
        <w:rPr>
          <w:spacing w:val="-2"/>
        </w:rPr>
        <w:t> cuestiones</w:t>
      </w:r>
    </w:p>
    <w:p>
      <w:pPr>
        <w:pStyle w:val="BodyText"/>
        <w:spacing w:line="276" w:lineRule="auto" w:before="153"/>
        <w:ind w:left="162" w:right="117"/>
        <w:jc w:val="both"/>
      </w:pPr>
      <w:r>
        <w:rPr/>
        <w:t>Tal y como se indica en la nota 2 “Bases de Presentación de los estados financieros” de acuerdo con la normativa</w:t>
      </w:r>
      <w:r>
        <w:rPr>
          <w:spacing w:val="-5"/>
        </w:rPr>
        <w:t> </w:t>
      </w:r>
      <w:r>
        <w:rPr/>
        <w:t>que</w:t>
      </w:r>
      <w:r>
        <w:rPr>
          <w:spacing w:val="-5"/>
        </w:rPr>
        <w:t> </w:t>
      </w:r>
      <w:r>
        <w:rPr/>
        <w:t>vincula</w:t>
      </w:r>
      <w:r>
        <w:rPr>
          <w:spacing w:val="-5"/>
        </w:rPr>
        <w:t> </w:t>
      </w:r>
      <w:r>
        <w:rPr/>
        <w:t>la</w:t>
      </w:r>
      <w:r>
        <w:rPr>
          <w:spacing w:val="-5"/>
        </w:rPr>
        <w:t> </w:t>
      </w:r>
      <w:r>
        <w:rPr/>
        <w:t>actuación</w:t>
      </w:r>
      <w:r>
        <w:rPr>
          <w:spacing w:val="-6"/>
        </w:rPr>
        <w:t> </w:t>
      </w:r>
      <w:r>
        <w:rPr/>
        <w:t>del</w:t>
      </w:r>
      <w:r>
        <w:rPr>
          <w:spacing w:val="-5"/>
        </w:rPr>
        <w:t> </w:t>
      </w:r>
      <w:r>
        <w:rPr/>
        <w:t>Colegio</w:t>
      </w:r>
      <w:r>
        <w:rPr>
          <w:spacing w:val="-5"/>
        </w:rPr>
        <w:t> </w:t>
      </w:r>
      <w:r>
        <w:rPr/>
        <w:t>de</w:t>
      </w:r>
      <w:r>
        <w:rPr>
          <w:spacing w:val="-5"/>
        </w:rPr>
        <w:t> </w:t>
      </w:r>
      <w:r>
        <w:rPr/>
        <w:t>Farmacéuticos</w:t>
      </w:r>
      <w:r>
        <w:rPr>
          <w:spacing w:val="-4"/>
        </w:rPr>
        <w:t> </w:t>
      </w:r>
      <w:r>
        <w:rPr/>
        <w:t>de</w:t>
      </w:r>
      <w:r>
        <w:rPr>
          <w:spacing w:val="-5"/>
        </w:rPr>
        <w:t> </w:t>
      </w:r>
      <w:r>
        <w:rPr/>
        <w:t>Las</w:t>
      </w:r>
      <w:r>
        <w:rPr>
          <w:spacing w:val="-7"/>
        </w:rPr>
        <w:t> </w:t>
      </w:r>
      <w:r>
        <w:rPr/>
        <w:t>Palmas,</w:t>
      </w:r>
      <w:r>
        <w:rPr>
          <w:spacing w:val="-5"/>
        </w:rPr>
        <w:t> </w:t>
      </w:r>
      <w:r>
        <w:rPr/>
        <w:t>el</w:t>
      </w:r>
      <w:r>
        <w:rPr>
          <w:spacing w:val="-8"/>
        </w:rPr>
        <w:t> </w:t>
      </w:r>
      <w:r>
        <w:rPr/>
        <w:t>mismo</w:t>
      </w:r>
      <w:r>
        <w:rPr>
          <w:spacing w:val="-7"/>
        </w:rPr>
        <w:t> </w:t>
      </w:r>
      <w:r>
        <w:rPr/>
        <w:t>no</w:t>
      </w:r>
      <w:r>
        <w:rPr>
          <w:spacing w:val="-5"/>
        </w:rPr>
        <w:t> </w:t>
      </w:r>
      <w:r>
        <w:rPr/>
        <w:t>está</w:t>
      </w:r>
      <w:r>
        <w:rPr>
          <w:spacing w:val="-5"/>
        </w:rPr>
        <w:t> </w:t>
      </w:r>
      <w:r>
        <w:rPr/>
        <w:t>sujeto</w:t>
      </w:r>
      <w:r>
        <w:rPr>
          <w:spacing w:val="-5"/>
        </w:rPr>
        <w:t> </w:t>
      </w:r>
      <w:r>
        <w:rPr/>
        <w:t>a </w:t>
      </w:r>
      <w:r>
        <w:rPr>
          <w:spacing w:val="-2"/>
        </w:rPr>
        <w:t>obligaciones contables normalizadas, por lo que no resulta de obligación</w:t>
      </w:r>
      <w:r>
        <w:rPr>
          <w:spacing w:val="-3"/>
        </w:rPr>
        <w:t> </w:t>
      </w:r>
      <w:r>
        <w:rPr>
          <w:spacing w:val="-2"/>
        </w:rPr>
        <w:t>la formulación</w:t>
      </w:r>
      <w:r>
        <w:rPr>
          <w:spacing w:val="-3"/>
        </w:rPr>
        <w:t> </w:t>
      </w:r>
      <w:r>
        <w:rPr>
          <w:spacing w:val="-2"/>
        </w:rPr>
        <w:t>de cuentas anuales </w:t>
      </w:r>
      <w:r>
        <w:rPr/>
        <w:t>o estados financieros de acuerdo con un marco de información financiera expresamente establecido. Por este</w:t>
      </w:r>
      <w:r>
        <w:rPr>
          <w:spacing w:val="-11"/>
        </w:rPr>
        <w:t> </w:t>
      </w:r>
      <w:r>
        <w:rPr/>
        <w:t>motivo,</w:t>
      </w:r>
      <w:r>
        <w:rPr>
          <w:spacing w:val="-12"/>
        </w:rPr>
        <w:t> </w:t>
      </w:r>
      <w:r>
        <w:rPr/>
        <w:t>los</w:t>
      </w:r>
      <w:r>
        <w:rPr>
          <w:spacing w:val="-11"/>
        </w:rPr>
        <w:t> </w:t>
      </w:r>
      <w:r>
        <w:rPr/>
        <w:t>estados</w:t>
      </w:r>
      <w:r>
        <w:rPr>
          <w:spacing w:val="-11"/>
        </w:rPr>
        <w:t> </w:t>
      </w:r>
      <w:r>
        <w:rPr/>
        <w:t>financieros</w:t>
      </w:r>
      <w:r>
        <w:rPr>
          <w:spacing w:val="-11"/>
        </w:rPr>
        <w:t> </w:t>
      </w:r>
      <w:r>
        <w:rPr/>
        <w:t>adjuntos</w:t>
      </w:r>
      <w:r>
        <w:rPr>
          <w:spacing w:val="-11"/>
        </w:rPr>
        <w:t> </w:t>
      </w:r>
      <w:r>
        <w:rPr/>
        <w:t>han</w:t>
      </w:r>
      <w:r>
        <w:rPr>
          <w:spacing w:val="-12"/>
        </w:rPr>
        <w:t> </w:t>
      </w:r>
      <w:r>
        <w:rPr/>
        <w:t>sido</w:t>
      </w:r>
      <w:r>
        <w:rPr>
          <w:spacing w:val="-11"/>
        </w:rPr>
        <w:t> </w:t>
      </w:r>
      <w:r>
        <w:rPr/>
        <w:t>preparados</w:t>
      </w:r>
      <w:r>
        <w:rPr>
          <w:spacing w:val="-11"/>
        </w:rPr>
        <w:t> </w:t>
      </w:r>
      <w:r>
        <w:rPr/>
        <w:t>de</w:t>
      </w:r>
      <w:r>
        <w:rPr>
          <w:spacing w:val="-11"/>
        </w:rPr>
        <w:t> </w:t>
      </w:r>
      <w:r>
        <w:rPr/>
        <w:t>acuerdo</w:t>
      </w:r>
      <w:r>
        <w:rPr>
          <w:spacing w:val="-11"/>
        </w:rPr>
        <w:t> </w:t>
      </w:r>
      <w:r>
        <w:rPr/>
        <w:t>con</w:t>
      </w:r>
      <w:r>
        <w:rPr>
          <w:spacing w:val="-12"/>
        </w:rPr>
        <w:t> </w:t>
      </w:r>
      <w:r>
        <w:rPr/>
        <w:t>el</w:t>
      </w:r>
      <w:r>
        <w:rPr>
          <w:spacing w:val="-11"/>
        </w:rPr>
        <w:t> </w:t>
      </w:r>
      <w:r>
        <w:rPr/>
        <w:t>marco</w:t>
      </w:r>
      <w:r>
        <w:rPr>
          <w:spacing w:val="-11"/>
        </w:rPr>
        <w:t> </w:t>
      </w:r>
      <w:r>
        <w:rPr/>
        <w:t>de</w:t>
      </w:r>
      <w:r>
        <w:rPr>
          <w:spacing w:val="-11"/>
        </w:rPr>
        <w:t> </w:t>
      </w:r>
      <w:r>
        <w:rPr/>
        <w:t>información financiera que el Colegio ha considerado más adecuado para mostrar la imagen fiel y no en virtud de requerimientos legales, habiendo sido auditados aplicando las Normas Internacionales de Auditoría. El presente informe en ningún caso puede entenderse como un informe de auditoría en los términos previstos en la normativa reguladora de la actividad de auditoría de cuentas vigente en España.</w:t>
      </w:r>
    </w:p>
    <w:p>
      <w:pPr>
        <w:spacing w:after="0" w:line="276" w:lineRule="auto"/>
        <w:jc w:val="both"/>
        <w:sectPr>
          <w:pgSz w:w="11910" w:h="16840"/>
          <w:pgMar w:header="804" w:footer="1529" w:top="2000" w:bottom="1720" w:left="1680" w:right="1580"/>
        </w:sectPr>
      </w:pPr>
    </w:p>
    <w:p>
      <w:pPr>
        <w:pStyle w:val="BodyText"/>
        <w:spacing w:before="155"/>
      </w:pPr>
    </w:p>
    <w:p>
      <w:pPr>
        <w:pStyle w:val="Heading1"/>
        <w:spacing w:before="1"/>
        <w:jc w:val="both"/>
      </w:pPr>
      <w:r>
        <w:rPr/>
        <w:t>Responsabilidades</w:t>
      </w:r>
      <w:r>
        <w:rPr>
          <w:spacing w:val="-2"/>
        </w:rPr>
        <w:t> </w:t>
      </w:r>
      <w:r>
        <w:rPr/>
        <w:t>de</w:t>
      </w:r>
      <w:r>
        <w:rPr>
          <w:spacing w:val="-1"/>
        </w:rPr>
        <w:t> </w:t>
      </w:r>
      <w:r>
        <w:rPr/>
        <w:t>la</w:t>
      </w:r>
      <w:r>
        <w:rPr>
          <w:spacing w:val="-3"/>
        </w:rPr>
        <w:t> </w:t>
      </w:r>
      <w:r>
        <w:rPr/>
        <w:t>Junta</w:t>
      </w:r>
      <w:r>
        <w:rPr>
          <w:spacing w:val="-2"/>
        </w:rPr>
        <w:t> </w:t>
      </w:r>
      <w:r>
        <w:rPr/>
        <w:t>de</w:t>
      </w:r>
      <w:r>
        <w:rPr>
          <w:spacing w:val="-1"/>
        </w:rPr>
        <w:t> </w:t>
      </w:r>
      <w:r>
        <w:rPr/>
        <w:t>Gobierno</w:t>
      </w:r>
      <w:r>
        <w:rPr>
          <w:spacing w:val="-1"/>
        </w:rPr>
        <w:t> </w:t>
      </w:r>
      <w:r>
        <w:rPr/>
        <w:t>del</w:t>
      </w:r>
      <w:r>
        <w:rPr>
          <w:spacing w:val="-3"/>
        </w:rPr>
        <w:t> </w:t>
      </w:r>
      <w:r>
        <w:rPr/>
        <w:t>Colegio en</w:t>
      </w:r>
      <w:r>
        <w:rPr>
          <w:spacing w:val="-5"/>
        </w:rPr>
        <w:t> </w:t>
      </w:r>
      <w:r>
        <w:rPr/>
        <w:t>relación</w:t>
      </w:r>
      <w:r>
        <w:rPr>
          <w:spacing w:val="-3"/>
        </w:rPr>
        <w:t> </w:t>
      </w:r>
      <w:r>
        <w:rPr/>
        <w:t>con</w:t>
      </w:r>
      <w:r>
        <w:rPr>
          <w:spacing w:val="-3"/>
        </w:rPr>
        <w:t> </w:t>
      </w:r>
      <w:r>
        <w:rPr/>
        <w:t>los</w:t>
      </w:r>
      <w:r>
        <w:rPr>
          <w:spacing w:val="-2"/>
        </w:rPr>
        <w:t> </w:t>
      </w:r>
      <w:r>
        <w:rPr/>
        <w:t>estados</w:t>
      </w:r>
      <w:r>
        <w:rPr>
          <w:spacing w:val="-1"/>
        </w:rPr>
        <w:t> </w:t>
      </w:r>
      <w:r>
        <w:rPr>
          <w:spacing w:val="-2"/>
        </w:rPr>
        <w:t>financieros</w:t>
      </w:r>
    </w:p>
    <w:p>
      <w:pPr>
        <w:pStyle w:val="BodyText"/>
        <w:spacing w:line="276" w:lineRule="auto" w:before="153"/>
        <w:ind w:left="163" w:right="118"/>
        <w:jc w:val="both"/>
      </w:pPr>
      <w:r>
        <w:rPr/>
        <w:t>La</w:t>
      </w:r>
      <w:r>
        <w:rPr>
          <w:spacing w:val="-4"/>
        </w:rPr>
        <w:t> </w:t>
      </w:r>
      <w:r>
        <w:rPr/>
        <w:t>Junta</w:t>
      </w:r>
      <w:r>
        <w:rPr>
          <w:spacing w:val="-4"/>
        </w:rPr>
        <w:t> </w:t>
      </w:r>
      <w:r>
        <w:rPr/>
        <w:t>de</w:t>
      </w:r>
      <w:r>
        <w:rPr>
          <w:spacing w:val="-4"/>
        </w:rPr>
        <w:t> </w:t>
      </w:r>
      <w:r>
        <w:rPr/>
        <w:t>Gobierno</w:t>
      </w:r>
      <w:r>
        <w:rPr>
          <w:spacing w:val="-4"/>
        </w:rPr>
        <w:t> </w:t>
      </w:r>
      <w:r>
        <w:rPr/>
        <w:t>es</w:t>
      </w:r>
      <w:r>
        <w:rPr>
          <w:spacing w:val="-3"/>
        </w:rPr>
        <w:t> </w:t>
      </w:r>
      <w:r>
        <w:rPr/>
        <w:t>responsable</w:t>
      </w:r>
      <w:r>
        <w:rPr>
          <w:spacing w:val="-4"/>
        </w:rPr>
        <w:t> </w:t>
      </w:r>
      <w:r>
        <w:rPr/>
        <w:t>de</w:t>
      </w:r>
      <w:r>
        <w:rPr>
          <w:spacing w:val="-4"/>
        </w:rPr>
        <w:t> </w:t>
      </w:r>
      <w:r>
        <w:rPr/>
        <w:t>la</w:t>
      </w:r>
      <w:r>
        <w:rPr>
          <w:spacing w:val="-4"/>
        </w:rPr>
        <w:t> </w:t>
      </w:r>
      <w:r>
        <w:rPr/>
        <w:t>preparación</w:t>
      </w:r>
      <w:r>
        <w:rPr>
          <w:spacing w:val="-5"/>
        </w:rPr>
        <w:t> </w:t>
      </w:r>
      <w:r>
        <w:rPr/>
        <w:t>y</w:t>
      </w:r>
      <w:r>
        <w:rPr>
          <w:spacing w:val="-4"/>
        </w:rPr>
        <w:t> </w:t>
      </w:r>
      <w:r>
        <w:rPr/>
        <w:t>presentación</w:t>
      </w:r>
      <w:r>
        <w:rPr>
          <w:spacing w:val="-5"/>
        </w:rPr>
        <w:t> </w:t>
      </w:r>
      <w:r>
        <w:rPr/>
        <w:t>de</w:t>
      </w:r>
      <w:r>
        <w:rPr>
          <w:spacing w:val="-4"/>
        </w:rPr>
        <w:t> </w:t>
      </w:r>
      <w:r>
        <w:rPr/>
        <w:t>los</w:t>
      </w:r>
      <w:r>
        <w:rPr>
          <w:spacing w:val="-3"/>
        </w:rPr>
        <w:t> </w:t>
      </w:r>
      <w:r>
        <w:rPr/>
        <w:t>estados</w:t>
      </w:r>
      <w:r>
        <w:rPr>
          <w:spacing w:val="-3"/>
        </w:rPr>
        <w:t> </w:t>
      </w:r>
      <w:r>
        <w:rPr/>
        <w:t>financieros</w:t>
      </w:r>
      <w:r>
        <w:rPr>
          <w:spacing w:val="-3"/>
        </w:rPr>
        <w:t> </w:t>
      </w:r>
      <w:r>
        <w:rPr/>
        <w:t>adjuntos de forma que expresen la imagen fiel de conformidad con el marco normativo de información financiera aplicado</w:t>
      </w:r>
      <w:r>
        <w:rPr>
          <w:spacing w:val="-6"/>
        </w:rPr>
        <w:t> </w:t>
      </w:r>
      <w:r>
        <w:rPr/>
        <w:t>en</w:t>
      </w:r>
      <w:r>
        <w:rPr>
          <w:spacing w:val="-7"/>
        </w:rPr>
        <w:t> </w:t>
      </w:r>
      <w:r>
        <w:rPr/>
        <w:t>España</w:t>
      </w:r>
      <w:r>
        <w:rPr>
          <w:spacing w:val="-7"/>
        </w:rPr>
        <w:t> </w:t>
      </w:r>
      <w:r>
        <w:rPr/>
        <w:t>(véase</w:t>
      </w:r>
      <w:r>
        <w:rPr>
          <w:spacing w:val="-7"/>
        </w:rPr>
        <w:t> </w:t>
      </w:r>
      <w:r>
        <w:rPr/>
        <w:t>nota</w:t>
      </w:r>
      <w:r>
        <w:rPr>
          <w:spacing w:val="-7"/>
        </w:rPr>
        <w:t> </w:t>
      </w:r>
      <w:r>
        <w:rPr/>
        <w:t>2</w:t>
      </w:r>
      <w:r>
        <w:rPr>
          <w:spacing w:val="-7"/>
        </w:rPr>
        <w:t> </w:t>
      </w:r>
      <w:r>
        <w:rPr/>
        <w:t>de</w:t>
      </w:r>
      <w:r>
        <w:rPr>
          <w:spacing w:val="-7"/>
        </w:rPr>
        <w:t> </w:t>
      </w:r>
      <w:r>
        <w:rPr/>
        <w:t>la</w:t>
      </w:r>
      <w:r>
        <w:rPr>
          <w:spacing w:val="-7"/>
        </w:rPr>
        <w:t> </w:t>
      </w:r>
      <w:r>
        <w:rPr/>
        <w:t>memoria),</w:t>
      </w:r>
      <w:r>
        <w:rPr>
          <w:spacing w:val="-7"/>
        </w:rPr>
        <w:t> </w:t>
      </w:r>
      <w:r>
        <w:rPr/>
        <w:t>y</w:t>
      </w:r>
      <w:r>
        <w:rPr>
          <w:spacing w:val="-7"/>
        </w:rPr>
        <w:t> </w:t>
      </w:r>
      <w:r>
        <w:rPr/>
        <w:t>del</w:t>
      </w:r>
      <w:r>
        <w:rPr>
          <w:spacing w:val="-7"/>
        </w:rPr>
        <w:t> </w:t>
      </w:r>
      <w:r>
        <w:rPr/>
        <w:t>control</w:t>
      </w:r>
      <w:r>
        <w:rPr>
          <w:spacing w:val="-7"/>
        </w:rPr>
        <w:t> </w:t>
      </w:r>
      <w:r>
        <w:rPr/>
        <w:t>interno</w:t>
      </w:r>
      <w:r>
        <w:rPr>
          <w:spacing w:val="-6"/>
        </w:rPr>
        <w:t> </w:t>
      </w:r>
      <w:r>
        <w:rPr/>
        <w:t>que</w:t>
      </w:r>
      <w:r>
        <w:rPr>
          <w:spacing w:val="-7"/>
        </w:rPr>
        <w:t> </w:t>
      </w:r>
      <w:r>
        <w:rPr/>
        <w:t>la</w:t>
      </w:r>
      <w:r>
        <w:rPr>
          <w:spacing w:val="-7"/>
        </w:rPr>
        <w:t> </w:t>
      </w:r>
      <w:r>
        <w:rPr/>
        <w:t>Junta</w:t>
      </w:r>
      <w:r>
        <w:rPr>
          <w:spacing w:val="-7"/>
        </w:rPr>
        <w:t> </w:t>
      </w:r>
      <w:r>
        <w:rPr/>
        <w:t>de</w:t>
      </w:r>
      <w:r>
        <w:rPr>
          <w:spacing w:val="-7"/>
        </w:rPr>
        <w:t> </w:t>
      </w:r>
      <w:r>
        <w:rPr/>
        <w:t>Gobierno</w:t>
      </w:r>
      <w:r>
        <w:rPr>
          <w:spacing w:val="-6"/>
        </w:rPr>
        <w:t> </w:t>
      </w:r>
      <w:r>
        <w:rPr/>
        <w:t>considere necesario para permitir la preparación de estados financieros libres de incorrección material, debida a fraude o error.</w:t>
      </w:r>
    </w:p>
    <w:p>
      <w:pPr>
        <w:pStyle w:val="BodyText"/>
        <w:spacing w:line="276" w:lineRule="auto" w:before="121"/>
        <w:ind w:left="163" w:right="116" w:hanging="1"/>
        <w:jc w:val="both"/>
      </w:pPr>
      <w:r>
        <w:rPr/>
        <w:drawing>
          <wp:anchor distT="0" distB="0" distL="0" distR="0" allowOverlap="1" layoutInCell="1" locked="0" behindDoc="1" simplePos="0" relativeHeight="487526400">
            <wp:simplePos x="0" y="0"/>
            <wp:positionH relativeFrom="page">
              <wp:posOffset>1189173</wp:posOffset>
            </wp:positionH>
            <wp:positionV relativeFrom="paragraph">
              <wp:posOffset>464602</wp:posOffset>
            </wp:positionV>
            <wp:extent cx="4983707" cy="48440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983707" cy="4844075"/>
                    </a:xfrm>
                    <a:prstGeom prst="rect">
                      <a:avLst/>
                    </a:prstGeom>
                  </pic:spPr>
                </pic:pic>
              </a:graphicData>
            </a:graphic>
          </wp:anchor>
        </w:drawing>
      </w:r>
      <w:r>
        <w:rPr/>
        <w:t>En la preparación de los estados financieros, la Junta de Gobierno es responsable de la valoración de la capacidad</w:t>
      </w:r>
      <w:r>
        <w:rPr>
          <w:spacing w:val="-3"/>
        </w:rPr>
        <w:t> </w:t>
      </w:r>
      <w:r>
        <w:rPr/>
        <w:t>del</w:t>
      </w:r>
      <w:r>
        <w:rPr>
          <w:spacing w:val="-3"/>
        </w:rPr>
        <w:t> </w:t>
      </w:r>
      <w:r>
        <w:rPr/>
        <w:t>Colegio</w:t>
      </w:r>
      <w:r>
        <w:rPr>
          <w:spacing w:val="-3"/>
        </w:rPr>
        <w:t> </w:t>
      </w:r>
      <w:r>
        <w:rPr/>
        <w:t>de</w:t>
      </w:r>
      <w:r>
        <w:rPr>
          <w:spacing w:val="-3"/>
        </w:rPr>
        <w:t> </w:t>
      </w:r>
      <w:r>
        <w:rPr/>
        <w:t>continuar</w:t>
      </w:r>
      <w:r>
        <w:rPr>
          <w:spacing w:val="-3"/>
        </w:rPr>
        <w:t> </w:t>
      </w:r>
      <w:r>
        <w:rPr/>
        <w:t>como</w:t>
      </w:r>
      <w:r>
        <w:rPr>
          <w:spacing w:val="-2"/>
        </w:rPr>
        <w:t> </w:t>
      </w:r>
      <w:r>
        <w:rPr/>
        <w:t>empresa</w:t>
      </w:r>
      <w:r>
        <w:rPr>
          <w:spacing w:val="-3"/>
        </w:rPr>
        <w:t> </w:t>
      </w:r>
      <w:r>
        <w:rPr/>
        <w:t>en</w:t>
      </w:r>
      <w:r>
        <w:rPr>
          <w:spacing w:val="-3"/>
        </w:rPr>
        <w:t> </w:t>
      </w:r>
      <w:r>
        <w:rPr/>
        <w:t>funcionamiento,</w:t>
      </w:r>
      <w:r>
        <w:rPr>
          <w:spacing w:val="-3"/>
        </w:rPr>
        <w:t> </w:t>
      </w:r>
      <w:r>
        <w:rPr/>
        <w:t>revelando,</w:t>
      </w:r>
      <w:r>
        <w:rPr>
          <w:spacing w:val="-3"/>
        </w:rPr>
        <w:t> </w:t>
      </w:r>
      <w:r>
        <w:rPr/>
        <w:t>según</w:t>
      </w:r>
      <w:r>
        <w:rPr>
          <w:spacing w:val="-3"/>
        </w:rPr>
        <w:t> </w:t>
      </w:r>
      <w:r>
        <w:rPr/>
        <w:t>corresponda,</w:t>
      </w:r>
      <w:r>
        <w:rPr>
          <w:spacing w:val="-3"/>
        </w:rPr>
        <w:t> </w:t>
      </w:r>
      <w:r>
        <w:rPr/>
        <w:t>las cuestiones relacionadas con la Empresa en funcionamiento y utilizando el principio contable de empresa en funcionamiento excepto si la Junta de Gobierno tiene intención de liquidar el Colegio o de cesar sus operaciones, o bien no exista otra alternativa realista.</w:t>
      </w:r>
    </w:p>
    <w:p>
      <w:pPr>
        <w:pStyle w:val="BodyText"/>
        <w:spacing w:before="115"/>
      </w:pPr>
    </w:p>
    <w:p>
      <w:pPr>
        <w:pStyle w:val="Heading1"/>
        <w:jc w:val="both"/>
      </w:pPr>
      <w:r>
        <w:rPr/>
        <w:t>Responsabilidades</w:t>
      </w:r>
      <w:r>
        <w:rPr>
          <w:spacing w:val="-5"/>
        </w:rPr>
        <w:t> </w:t>
      </w:r>
      <w:r>
        <w:rPr/>
        <w:t>del</w:t>
      </w:r>
      <w:r>
        <w:rPr>
          <w:spacing w:val="-3"/>
        </w:rPr>
        <w:t> </w:t>
      </w:r>
      <w:r>
        <w:rPr/>
        <w:t>auditor</w:t>
      </w:r>
      <w:r>
        <w:rPr>
          <w:spacing w:val="-1"/>
        </w:rPr>
        <w:t> </w:t>
      </w:r>
      <w:r>
        <w:rPr/>
        <w:t>en</w:t>
      </w:r>
      <w:r>
        <w:rPr>
          <w:spacing w:val="-3"/>
        </w:rPr>
        <w:t> </w:t>
      </w:r>
      <w:r>
        <w:rPr/>
        <w:t>relación</w:t>
      </w:r>
      <w:r>
        <w:rPr>
          <w:spacing w:val="-3"/>
        </w:rPr>
        <w:t> </w:t>
      </w:r>
      <w:r>
        <w:rPr/>
        <w:t>con</w:t>
      </w:r>
      <w:r>
        <w:rPr>
          <w:spacing w:val="-3"/>
        </w:rPr>
        <w:t> </w:t>
      </w:r>
      <w:r>
        <w:rPr/>
        <w:t>la</w:t>
      </w:r>
      <w:r>
        <w:rPr>
          <w:spacing w:val="-3"/>
        </w:rPr>
        <w:t> </w:t>
      </w:r>
      <w:r>
        <w:rPr/>
        <w:t>auditoría</w:t>
      </w:r>
      <w:r>
        <w:rPr>
          <w:spacing w:val="-3"/>
        </w:rPr>
        <w:t> </w:t>
      </w:r>
      <w:r>
        <w:rPr/>
        <w:t>de</w:t>
      </w:r>
      <w:r>
        <w:rPr>
          <w:spacing w:val="-1"/>
        </w:rPr>
        <w:t> </w:t>
      </w:r>
      <w:r>
        <w:rPr/>
        <w:t>los</w:t>
      </w:r>
      <w:r>
        <w:rPr>
          <w:spacing w:val="-2"/>
        </w:rPr>
        <w:t> </w:t>
      </w:r>
      <w:r>
        <w:rPr/>
        <w:t>estados</w:t>
      </w:r>
      <w:r>
        <w:rPr>
          <w:spacing w:val="-2"/>
        </w:rPr>
        <w:t> financieros</w:t>
      </w:r>
    </w:p>
    <w:p>
      <w:pPr>
        <w:pStyle w:val="BodyText"/>
        <w:spacing w:line="276" w:lineRule="auto" w:before="153"/>
        <w:ind w:left="163" w:right="116"/>
        <w:jc w:val="both"/>
      </w:pPr>
      <w:r>
        <w:rPr/>
        <w:t>Nuestros objetivos son obtener una seguridad razonable de que los estados financieros en su conjunto están</w:t>
      </w:r>
      <w:r>
        <w:rPr>
          <w:spacing w:val="-11"/>
        </w:rPr>
        <w:t> </w:t>
      </w:r>
      <w:r>
        <w:rPr/>
        <w:t>libres</w:t>
      </w:r>
      <w:r>
        <w:rPr>
          <w:spacing w:val="-9"/>
        </w:rPr>
        <w:t> </w:t>
      </w:r>
      <w:r>
        <w:rPr/>
        <w:t>de</w:t>
      </w:r>
      <w:r>
        <w:rPr>
          <w:spacing w:val="-10"/>
        </w:rPr>
        <w:t> </w:t>
      </w:r>
      <w:r>
        <w:rPr/>
        <w:t>incorrección</w:t>
      </w:r>
      <w:r>
        <w:rPr>
          <w:spacing w:val="-11"/>
        </w:rPr>
        <w:t> </w:t>
      </w:r>
      <w:r>
        <w:rPr/>
        <w:t>material,</w:t>
      </w:r>
      <w:r>
        <w:rPr>
          <w:spacing w:val="-10"/>
        </w:rPr>
        <w:t> </w:t>
      </w:r>
      <w:r>
        <w:rPr/>
        <w:t>debida</w:t>
      </w:r>
      <w:r>
        <w:rPr>
          <w:spacing w:val="-10"/>
        </w:rPr>
        <w:t> </w:t>
      </w:r>
      <w:r>
        <w:rPr/>
        <w:t>a</w:t>
      </w:r>
      <w:r>
        <w:rPr>
          <w:spacing w:val="-10"/>
        </w:rPr>
        <w:t> </w:t>
      </w:r>
      <w:r>
        <w:rPr/>
        <w:t>fraude</w:t>
      </w:r>
      <w:r>
        <w:rPr>
          <w:spacing w:val="-10"/>
        </w:rPr>
        <w:t> </w:t>
      </w:r>
      <w:r>
        <w:rPr/>
        <w:t>o</w:t>
      </w:r>
      <w:r>
        <w:rPr>
          <w:spacing w:val="-9"/>
        </w:rPr>
        <w:t> </w:t>
      </w:r>
      <w:r>
        <w:rPr/>
        <w:t>error,</w:t>
      </w:r>
      <w:r>
        <w:rPr>
          <w:spacing w:val="-12"/>
        </w:rPr>
        <w:t> </w:t>
      </w:r>
      <w:r>
        <w:rPr/>
        <w:t>y</w:t>
      </w:r>
      <w:r>
        <w:rPr>
          <w:spacing w:val="-10"/>
        </w:rPr>
        <w:t> </w:t>
      </w:r>
      <w:r>
        <w:rPr/>
        <w:t>emitir</w:t>
      </w:r>
      <w:r>
        <w:rPr>
          <w:spacing w:val="-10"/>
        </w:rPr>
        <w:t> </w:t>
      </w:r>
      <w:r>
        <w:rPr/>
        <w:t>un</w:t>
      </w:r>
      <w:r>
        <w:rPr>
          <w:spacing w:val="-11"/>
        </w:rPr>
        <w:t> </w:t>
      </w:r>
      <w:r>
        <w:rPr/>
        <w:t>informe</w:t>
      </w:r>
      <w:r>
        <w:rPr>
          <w:spacing w:val="-10"/>
        </w:rPr>
        <w:t> </w:t>
      </w:r>
      <w:r>
        <w:rPr/>
        <w:t>de</w:t>
      </w:r>
      <w:r>
        <w:rPr>
          <w:spacing w:val="-10"/>
        </w:rPr>
        <w:t> </w:t>
      </w:r>
      <w:r>
        <w:rPr/>
        <w:t>auditoría</w:t>
      </w:r>
      <w:r>
        <w:rPr>
          <w:spacing w:val="-10"/>
        </w:rPr>
        <w:t> </w:t>
      </w:r>
      <w:r>
        <w:rPr/>
        <w:t>que</w:t>
      </w:r>
      <w:r>
        <w:rPr>
          <w:spacing w:val="-10"/>
        </w:rPr>
        <w:t> </w:t>
      </w:r>
      <w:r>
        <w:rPr/>
        <w:t>contiene nuestra opinión. Seguridad razonable es un alto grado</w:t>
      </w:r>
      <w:r>
        <w:rPr>
          <w:spacing w:val="-1"/>
        </w:rPr>
        <w:t> </w:t>
      </w:r>
      <w:r>
        <w:rPr/>
        <w:t>de seguridad pero no garantiza que una auditoría realizada de conformidad con las NIA siempre detecte una incorrección material cuando existe. Las incorrecciones</w:t>
      </w:r>
      <w:r>
        <w:rPr>
          <w:spacing w:val="-2"/>
        </w:rPr>
        <w:t> </w:t>
      </w:r>
      <w:r>
        <w:rPr/>
        <w:t>pueden</w:t>
      </w:r>
      <w:r>
        <w:rPr>
          <w:spacing w:val="-3"/>
        </w:rPr>
        <w:t> </w:t>
      </w:r>
      <w:r>
        <w:rPr/>
        <w:t>deberse</w:t>
      </w:r>
      <w:r>
        <w:rPr>
          <w:spacing w:val="-3"/>
        </w:rPr>
        <w:t> </w:t>
      </w:r>
      <w:r>
        <w:rPr/>
        <w:t>a</w:t>
      </w:r>
      <w:r>
        <w:rPr>
          <w:spacing w:val="-3"/>
        </w:rPr>
        <w:t> </w:t>
      </w:r>
      <w:r>
        <w:rPr/>
        <w:t>fraude</w:t>
      </w:r>
      <w:r>
        <w:rPr>
          <w:spacing w:val="-3"/>
        </w:rPr>
        <w:t> </w:t>
      </w:r>
      <w:r>
        <w:rPr/>
        <w:t>o</w:t>
      </w:r>
      <w:r>
        <w:rPr>
          <w:spacing w:val="-2"/>
        </w:rPr>
        <w:t> </w:t>
      </w:r>
      <w:r>
        <w:rPr/>
        <w:t>error</w:t>
      </w:r>
      <w:r>
        <w:rPr>
          <w:spacing w:val="-3"/>
        </w:rPr>
        <w:t> </w:t>
      </w:r>
      <w:r>
        <w:rPr/>
        <w:t>y</w:t>
      </w:r>
      <w:r>
        <w:rPr>
          <w:spacing w:val="-3"/>
        </w:rPr>
        <w:t> </w:t>
      </w:r>
      <w:r>
        <w:rPr/>
        <w:t>se</w:t>
      </w:r>
      <w:r>
        <w:rPr>
          <w:spacing w:val="-5"/>
        </w:rPr>
        <w:t> </w:t>
      </w:r>
      <w:r>
        <w:rPr/>
        <w:t>consideran</w:t>
      </w:r>
      <w:r>
        <w:rPr>
          <w:spacing w:val="-3"/>
        </w:rPr>
        <w:t> </w:t>
      </w:r>
      <w:r>
        <w:rPr/>
        <w:t>materiales</w:t>
      </w:r>
      <w:r>
        <w:rPr>
          <w:spacing w:val="-2"/>
        </w:rPr>
        <w:t> </w:t>
      </w:r>
      <w:r>
        <w:rPr/>
        <w:t>si,</w:t>
      </w:r>
      <w:r>
        <w:rPr>
          <w:spacing w:val="-3"/>
        </w:rPr>
        <w:t> </w:t>
      </w:r>
      <w:r>
        <w:rPr/>
        <w:t>individualmente</w:t>
      </w:r>
      <w:r>
        <w:rPr>
          <w:spacing w:val="-3"/>
        </w:rPr>
        <w:t> </w:t>
      </w:r>
      <w:r>
        <w:rPr/>
        <w:t>o</w:t>
      </w:r>
      <w:r>
        <w:rPr>
          <w:spacing w:val="-2"/>
        </w:rPr>
        <w:t> </w:t>
      </w:r>
      <w:r>
        <w:rPr/>
        <w:t>de</w:t>
      </w:r>
      <w:r>
        <w:rPr>
          <w:spacing w:val="-3"/>
        </w:rPr>
        <w:t> </w:t>
      </w:r>
      <w:r>
        <w:rPr/>
        <w:t>forma agregada, puede preverse razonablemente que influyan en las decisiones económicas que los usuarios toman basándose en los estados financieros.</w:t>
      </w:r>
    </w:p>
    <w:p>
      <w:pPr>
        <w:pStyle w:val="BodyText"/>
        <w:spacing w:line="276" w:lineRule="auto" w:before="120"/>
        <w:ind w:left="163" w:right="118"/>
        <w:jc w:val="both"/>
      </w:pPr>
      <w:r>
        <w:rPr/>
        <w:t>Como parte de una auditoría de conformidad con las NIA, aplicamos nuestro juicio profesional y mantenemos una actitud de escepticismo profesional durante toda la auditoría. También:</w:t>
      </w:r>
    </w:p>
    <w:p>
      <w:pPr>
        <w:pStyle w:val="ListParagraph"/>
        <w:numPr>
          <w:ilvl w:val="0"/>
          <w:numId w:val="1"/>
        </w:numPr>
        <w:tabs>
          <w:tab w:pos="855" w:val="left" w:leader="none"/>
        </w:tabs>
        <w:spacing w:line="276" w:lineRule="auto" w:before="122" w:after="0"/>
        <w:ind w:left="729" w:right="119" w:firstLine="0"/>
        <w:jc w:val="both"/>
        <w:rPr>
          <w:sz w:val="18"/>
        </w:rPr>
      </w:pPr>
      <w:r>
        <w:rPr>
          <w:sz w:val="18"/>
        </w:rPr>
        <w:t>Identificamos y</w:t>
      </w:r>
      <w:r>
        <w:rPr>
          <w:spacing w:val="-3"/>
          <w:sz w:val="18"/>
        </w:rPr>
        <w:t> </w:t>
      </w:r>
      <w:r>
        <w:rPr>
          <w:sz w:val="18"/>
        </w:rPr>
        <w:t>valoramos</w:t>
      </w:r>
      <w:r>
        <w:rPr>
          <w:spacing w:val="-2"/>
          <w:sz w:val="18"/>
        </w:rPr>
        <w:t> </w:t>
      </w:r>
      <w:r>
        <w:rPr>
          <w:sz w:val="18"/>
        </w:rPr>
        <w:t>los riesgos de</w:t>
      </w:r>
      <w:r>
        <w:rPr>
          <w:spacing w:val="-1"/>
          <w:sz w:val="18"/>
        </w:rPr>
        <w:t> </w:t>
      </w:r>
      <w:r>
        <w:rPr>
          <w:sz w:val="18"/>
        </w:rPr>
        <w:t>incorrección</w:t>
      </w:r>
      <w:r>
        <w:rPr>
          <w:spacing w:val="-3"/>
          <w:sz w:val="18"/>
        </w:rPr>
        <w:t> </w:t>
      </w:r>
      <w:r>
        <w:rPr>
          <w:sz w:val="18"/>
        </w:rPr>
        <w:t>material en</w:t>
      </w:r>
      <w:r>
        <w:rPr>
          <w:spacing w:val="-1"/>
          <w:sz w:val="18"/>
        </w:rPr>
        <w:t> </w:t>
      </w:r>
      <w:r>
        <w:rPr>
          <w:sz w:val="18"/>
        </w:rPr>
        <w:t>los estados financieros,</w:t>
      </w:r>
      <w:r>
        <w:rPr>
          <w:spacing w:val="-1"/>
          <w:sz w:val="18"/>
        </w:rPr>
        <w:t> </w:t>
      </w:r>
      <w:r>
        <w:rPr>
          <w:sz w:val="18"/>
        </w:rPr>
        <w:t>debida a fraude o error, diseñamos y aplicamos procedimientos de auditoría para responder a dichos riesgos</w:t>
      </w:r>
      <w:r>
        <w:rPr>
          <w:spacing w:val="-7"/>
          <w:sz w:val="18"/>
        </w:rPr>
        <w:t> </w:t>
      </w:r>
      <w:r>
        <w:rPr>
          <w:sz w:val="18"/>
        </w:rPr>
        <w:t>y</w:t>
      </w:r>
      <w:r>
        <w:rPr>
          <w:spacing w:val="-8"/>
          <w:sz w:val="18"/>
        </w:rPr>
        <w:t> </w:t>
      </w:r>
      <w:r>
        <w:rPr>
          <w:sz w:val="18"/>
        </w:rPr>
        <w:t>obtenemos</w:t>
      </w:r>
      <w:r>
        <w:rPr>
          <w:spacing w:val="-7"/>
          <w:sz w:val="18"/>
        </w:rPr>
        <w:t> </w:t>
      </w:r>
      <w:r>
        <w:rPr>
          <w:sz w:val="18"/>
        </w:rPr>
        <w:t>evidencia</w:t>
      </w:r>
      <w:r>
        <w:rPr>
          <w:spacing w:val="-5"/>
          <w:sz w:val="18"/>
        </w:rPr>
        <w:t> </w:t>
      </w:r>
      <w:r>
        <w:rPr>
          <w:sz w:val="18"/>
        </w:rPr>
        <w:t>de</w:t>
      </w:r>
      <w:r>
        <w:rPr>
          <w:spacing w:val="-8"/>
          <w:sz w:val="18"/>
        </w:rPr>
        <w:t> </w:t>
      </w:r>
      <w:r>
        <w:rPr>
          <w:sz w:val="18"/>
        </w:rPr>
        <w:t>auditoría</w:t>
      </w:r>
      <w:r>
        <w:rPr>
          <w:spacing w:val="-8"/>
          <w:sz w:val="18"/>
        </w:rPr>
        <w:t> </w:t>
      </w:r>
      <w:r>
        <w:rPr>
          <w:sz w:val="18"/>
        </w:rPr>
        <w:t>suficiente</w:t>
      </w:r>
      <w:r>
        <w:rPr>
          <w:spacing w:val="-8"/>
          <w:sz w:val="18"/>
        </w:rPr>
        <w:t> </w:t>
      </w:r>
      <w:r>
        <w:rPr>
          <w:sz w:val="18"/>
        </w:rPr>
        <w:t>y</w:t>
      </w:r>
      <w:r>
        <w:rPr>
          <w:spacing w:val="-8"/>
          <w:sz w:val="18"/>
        </w:rPr>
        <w:t> </w:t>
      </w:r>
      <w:r>
        <w:rPr>
          <w:sz w:val="18"/>
        </w:rPr>
        <w:t>adecuada</w:t>
      </w:r>
      <w:r>
        <w:rPr>
          <w:spacing w:val="-8"/>
          <w:sz w:val="18"/>
        </w:rPr>
        <w:t> </w:t>
      </w:r>
      <w:r>
        <w:rPr>
          <w:sz w:val="18"/>
        </w:rPr>
        <w:t>para</w:t>
      </w:r>
      <w:r>
        <w:rPr>
          <w:spacing w:val="-8"/>
          <w:sz w:val="18"/>
        </w:rPr>
        <w:t> </w:t>
      </w:r>
      <w:r>
        <w:rPr>
          <w:sz w:val="18"/>
        </w:rPr>
        <w:t>proporcionar</w:t>
      </w:r>
      <w:r>
        <w:rPr>
          <w:spacing w:val="-7"/>
          <w:sz w:val="18"/>
        </w:rPr>
        <w:t> </w:t>
      </w:r>
      <w:r>
        <w:rPr>
          <w:sz w:val="18"/>
        </w:rPr>
        <w:t>una</w:t>
      </w:r>
      <w:r>
        <w:rPr>
          <w:spacing w:val="-8"/>
          <w:sz w:val="18"/>
        </w:rPr>
        <w:t> </w:t>
      </w:r>
      <w:r>
        <w:rPr>
          <w:sz w:val="18"/>
        </w:rPr>
        <w:t>base</w:t>
      </w:r>
      <w:r>
        <w:rPr>
          <w:spacing w:val="-8"/>
          <w:sz w:val="18"/>
        </w:rPr>
        <w:t> </w:t>
      </w:r>
      <w:r>
        <w:rPr>
          <w:sz w:val="18"/>
        </w:rPr>
        <w:t>para nuestra</w:t>
      </w:r>
      <w:r>
        <w:rPr>
          <w:spacing w:val="-5"/>
          <w:sz w:val="18"/>
        </w:rPr>
        <w:t> </w:t>
      </w:r>
      <w:r>
        <w:rPr>
          <w:sz w:val="18"/>
        </w:rPr>
        <w:t>opinión.</w:t>
      </w:r>
      <w:r>
        <w:rPr>
          <w:spacing w:val="-5"/>
          <w:sz w:val="18"/>
        </w:rPr>
        <w:t> </w:t>
      </w:r>
      <w:r>
        <w:rPr>
          <w:sz w:val="18"/>
        </w:rPr>
        <w:t>El</w:t>
      </w:r>
      <w:r>
        <w:rPr>
          <w:spacing w:val="-5"/>
          <w:sz w:val="18"/>
        </w:rPr>
        <w:t> </w:t>
      </w:r>
      <w:r>
        <w:rPr>
          <w:sz w:val="18"/>
        </w:rPr>
        <w:t>riesgo</w:t>
      </w:r>
      <w:r>
        <w:rPr>
          <w:spacing w:val="-5"/>
          <w:sz w:val="18"/>
        </w:rPr>
        <w:t> </w:t>
      </w:r>
      <w:r>
        <w:rPr>
          <w:sz w:val="18"/>
        </w:rPr>
        <w:t>de</w:t>
      </w:r>
      <w:r>
        <w:rPr>
          <w:spacing w:val="-5"/>
          <w:sz w:val="18"/>
        </w:rPr>
        <w:t> </w:t>
      </w:r>
      <w:r>
        <w:rPr>
          <w:sz w:val="18"/>
        </w:rPr>
        <w:t>no</w:t>
      </w:r>
      <w:r>
        <w:rPr>
          <w:spacing w:val="-5"/>
          <w:sz w:val="18"/>
        </w:rPr>
        <w:t> </w:t>
      </w:r>
      <w:r>
        <w:rPr>
          <w:sz w:val="18"/>
        </w:rPr>
        <w:t>detectar</w:t>
      </w:r>
      <w:r>
        <w:rPr>
          <w:spacing w:val="-5"/>
          <w:sz w:val="18"/>
        </w:rPr>
        <w:t> </w:t>
      </w:r>
      <w:r>
        <w:rPr>
          <w:sz w:val="18"/>
        </w:rPr>
        <w:t>una</w:t>
      </w:r>
      <w:r>
        <w:rPr>
          <w:spacing w:val="-5"/>
          <w:sz w:val="18"/>
        </w:rPr>
        <w:t> </w:t>
      </w:r>
      <w:r>
        <w:rPr>
          <w:sz w:val="18"/>
        </w:rPr>
        <w:t>incorrección</w:t>
      </w:r>
      <w:r>
        <w:rPr>
          <w:spacing w:val="-6"/>
          <w:sz w:val="18"/>
        </w:rPr>
        <w:t> </w:t>
      </w:r>
      <w:r>
        <w:rPr>
          <w:sz w:val="18"/>
        </w:rPr>
        <w:t>material</w:t>
      </w:r>
      <w:r>
        <w:rPr>
          <w:spacing w:val="-5"/>
          <w:sz w:val="18"/>
        </w:rPr>
        <w:t> </w:t>
      </w:r>
      <w:r>
        <w:rPr>
          <w:sz w:val="18"/>
        </w:rPr>
        <w:t>debida</w:t>
      </w:r>
      <w:r>
        <w:rPr>
          <w:spacing w:val="-5"/>
          <w:sz w:val="18"/>
        </w:rPr>
        <w:t> </w:t>
      </w:r>
      <w:r>
        <w:rPr>
          <w:sz w:val="18"/>
        </w:rPr>
        <w:t>a</w:t>
      </w:r>
      <w:r>
        <w:rPr>
          <w:spacing w:val="-5"/>
          <w:sz w:val="18"/>
        </w:rPr>
        <w:t> </w:t>
      </w:r>
      <w:r>
        <w:rPr>
          <w:sz w:val="18"/>
        </w:rPr>
        <w:t>fraude</w:t>
      </w:r>
      <w:r>
        <w:rPr>
          <w:spacing w:val="-5"/>
          <w:sz w:val="18"/>
        </w:rPr>
        <w:t> </w:t>
      </w:r>
      <w:r>
        <w:rPr>
          <w:sz w:val="18"/>
        </w:rPr>
        <w:t>es</w:t>
      </w:r>
      <w:r>
        <w:rPr>
          <w:spacing w:val="-4"/>
          <w:sz w:val="18"/>
        </w:rPr>
        <w:t> </w:t>
      </w:r>
      <w:r>
        <w:rPr>
          <w:sz w:val="18"/>
        </w:rPr>
        <w:t>más</w:t>
      </w:r>
      <w:r>
        <w:rPr>
          <w:spacing w:val="-9"/>
          <w:sz w:val="18"/>
        </w:rPr>
        <w:t> </w:t>
      </w:r>
      <w:r>
        <w:rPr>
          <w:sz w:val="18"/>
        </w:rPr>
        <w:t>elevado que</w:t>
      </w:r>
      <w:r>
        <w:rPr>
          <w:spacing w:val="-13"/>
          <w:sz w:val="18"/>
        </w:rPr>
        <w:t> </w:t>
      </w:r>
      <w:r>
        <w:rPr>
          <w:sz w:val="18"/>
        </w:rPr>
        <w:t>en</w:t>
      </w:r>
      <w:r>
        <w:rPr>
          <w:spacing w:val="-12"/>
          <w:sz w:val="18"/>
        </w:rPr>
        <w:t> </w:t>
      </w:r>
      <w:r>
        <w:rPr>
          <w:sz w:val="18"/>
        </w:rPr>
        <w:t>el</w:t>
      </w:r>
      <w:r>
        <w:rPr>
          <w:spacing w:val="-12"/>
          <w:sz w:val="18"/>
        </w:rPr>
        <w:t> </w:t>
      </w:r>
      <w:r>
        <w:rPr>
          <w:sz w:val="18"/>
        </w:rPr>
        <w:t>caso</w:t>
      </w:r>
      <w:r>
        <w:rPr>
          <w:spacing w:val="-13"/>
          <w:sz w:val="18"/>
        </w:rPr>
        <w:t> </w:t>
      </w:r>
      <w:r>
        <w:rPr>
          <w:sz w:val="18"/>
        </w:rPr>
        <w:t>de</w:t>
      </w:r>
      <w:r>
        <w:rPr>
          <w:spacing w:val="-12"/>
          <w:sz w:val="18"/>
        </w:rPr>
        <w:t> </w:t>
      </w:r>
      <w:r>
        <w:rPr>
          <w:sz w:val="18"/>
        </w:rPr>
        <w:t>una</w:t>
      </w:r>
      <w:r>
        <w:rPr>
          <w:spacing w:val="-12"/>
          <w:sz w:val="18"/>
        </w:rPr>
        <w:t> </w:t>
      </w:r>
      <w:r>
        <w:rPr>
          <w:sz w:val="18"/>
        </w:rPr>
        <w:t>incorrección</w:t>
      </w:r>
      <w:r>
        <w:rPr>
          <w:spacing w:val="-12"/>
          <w:sz w:val="18"/>
        </w:rPr>
        <w:t> </w:t>
      </w:r>
      <w:r>
        <w:rPr>
          <w:sz w:val="18"/>
        </w:rPr>
        <w:t>material</w:t>
      </w:r>
      <w:r>
        <w:rPr>
          <w:spacing w:val="-12"/>
          <w:sz w:val="18"/>
        </w:rPr>
        <w:t> </w:t>
      </w:r>
      <w:r>
        <w:rPr>
          <w:sz w:val="18"/>
        </w:rPr>
        <w:t>debida</w:t>
      </w:r>
      <w:r>
        <w:rPr>
          <w:spacing w:val="-12"/>
          <w:sz w:val="18"/>
        </w:rPr>
        <w:t> </w:t>
      </w:r>
      <w:r>
        <w:rPr>
          <w:sz w:val="18"/>
        </w:rPr>
        <w:t>a</w:t>
      </w:r>
      <w:r>
        <w:rPr>
          <w:spacing w:val="-12"/>
          <w:sz w:val="18"/>
        </w:rPr>
        <w:t> </w:t>
      </w:r>
      <w:r>
        <w:rPr>
          <w:sz w:val="18"/>
        </w:rPr>
        <w:t>error,</w:t>
      </w:r>
      <w:r>
        <w:rPr>
          <w:spacing w:val="-13"/>
          <w:sz w:val="18"/>
        </w:rPr>
        <w:t> </w:t>
      </w:r>
      <w:r>
        <w:rPr>
          <w:sz w:val="18"/>
        </w:rPr>
        <w:t>ya</w:t>
      </w:r>
      <w:r>
        <w:rPr>
          <w:spacing w:val="-12"/>
          <w:sz w:val="18"/>
        </w:rPr>
        <w:t> </w:t>
      </w:r>
      <w:r>
        <w:rPr>
          <w:sz w:val="18"/>
        </w:rPr>
        <w:t>que</w:t>
      </w:r>
      <w:r>
        <w:rPr>
          <w:spacing w:val="-12"/>
          <w:sz w:val="18"/>
        </w:rPr>
        <w:t> </w:t>
      </w:r>
      <w:r>
        <w:rPr>
          <w:sz w:val="18"/>
        </w:rPr>
        <w:t>el</w:t>
      </w:r>
      <w:r>
        <w:rPr>
          <w:spacing w:val="-12"/>
          <w:sz w:val="18"/>
        </w:rPr>
        <w:t> </w:t>
      </w:r>
      <w:r>
        <w:rPr>
          <w:sz w:val="18"/>
        </w:rPr>
        <w:t>fraude</w:t>
      </w:r>
      <w:r>
        <w:rPr>
          <w:spacing w:val="-12"/>
          <w:sz w:val="18"/>
        </w:rPr>
        <w:t> </w:t>
      </w:r>
      <w:r>
        <w:rPr>
          <w:sz w:val="18"/>
        </w:rPr>
        <w:t>puede</w:t>
      </w:r>
      <w:r>
        <w:rPr>
          <w:spacing w:val="-12"/>
          <w:sz w:val="18"/>
        </w:rPr>
        <w:t> </w:t>
      </w:r>
      <w:r>
        <w:rPr>
          <w:sz w:val="18"/>
        </w:rPr>
        <w:t>implicar</w:t>
      </w:r>
      <w:r>
        <w:rPr>
          <w:spacing w:val="-12"/>
          <w:sz w:val="18"/>
        </w:rPr>
        <w:t> </w:t>
      </w:r>
      <w:r>
        <w:rPr>
          <w:sz w:val="18"/>
        </w:rPr>
        <w:t>colusión, falsificación, omisiones deliberadas, manifestaciones intencionadamente erróneas, o la elusión del control interno.</w:t>
      </w:r>
    </w:p>
    <w:p>
      <w:pPr>
        <w:pStyle w:val="ListParagraph"/>
        <w:numPr>
          <w:ilvl w:val="0"/>
          <w:numId w:val="1"/>
        </w:numPr>
        <w:tabs>
          <w:tab w:pos="874" w:val="left" w:leader="none"/>
        </w:tabs>
        <w:spacing w:line="276" w:lineRule="auto" w:before="58" w:after="0"/>
        <w:ind w:left="729" w:right="117" w:firstLine="0"/>
        <w:jc w:val="both"/>
        <w:rPr>
          <w:sz w:val="18"/>
        </w:rPr>
      </w:pPr>
      <w:r>
        <w:rPr>
          <w:sz w:val="18"/>
        </w:rPr>
        <w:t>Obtenemos conocimiento del control interno relevante para la auditoría con el fin de diseñar procedimientos de auditoría que sean adecuados en función de las circunstancias, y no con la finalidad de expresar una opinión sobre la eficacia del control interno del Colegio.</w:t>
      </w:r>
    </w:p>
    <w:p>
      <w:pPr>
        <w:pStyle w:val="ListParagraph"/>
        <w:numPr>
          <w:ilvl w:val="0"/>
          <w:numId w:val="1"/>
        </w:numPr>
        <w:tabs>
          <w:tab w:pos="841" w:val="left" w:leader="none"/>
        </w:tabs>
        <w:spacing w:line="276" w:lineRule="auto" w:before="62" w:after="0"/>
        <w:ind w:left="729" w:right="120" w:firstLine="0"/>
        <w:jc w:val="both"/>
        <w:rPr>
          <w:sz w:val="18"/>
        </w:rPr>
      </w:pPr>
      <w:r>
        <w:rPr>
          <w:sz w:val="18"/>
        </w:rPr>
        <w:t>Evaluamos</w:t>
      </w:r>
      <w:r>
        <w:rPr>
          <w:spacing w:val="-13"/>
          <w:sz w:val="18"/>
        </w:rPr>
        <w:t> </w:t>
      </w:r>
      <w:r>
        <w:rPr>
          <w:sz w:val="18"/>
        </w:rPr>
        <w:t>si</w:t>
      </w:r>
      <w:r>
        <w:rPr>
          <w:spacing w:val="-12"/>
          <w:sz w:val="18"/>
        </w:rPr>
        <w:t> </w:t>
      </w:r>
      <w:r>
        <w:rPr>
          <w:sz w:val="18"/>
        </w:rPr>
        <w:t>las</w:t>
      </w:r>
      <w:r>
        <w:rPr>
          <w:spacing w:val="-12"/>
          <w:sz w:val="18"/>
        </w:rPr>
        <w:t> </w:t>
      </w:r>
      <w:r>
        <w:rPr>
          <w:sz w:val="18"/>
        </w:rPr>
        <w:t>políticas</w:t>
      </w:r>
      <w:r>
        <w:rPr>
          <w:spacing w:val="-13"/>
          <w:sz w:val="18"/>
        </w:rPr>
        <w:t> </w:t>
      </w:r>
      <w:r>
        <w:rPr>
          <w:sz w:val="18"/>
        </w:rPr>
        <w:t>contables</w:t>
      </w:r>
      <w:r>
        <w:rPr>
          <w:spacing w:val="-12"/>
          <w:sz w:val="18"/>
        </w:rPr>
        <w:t> </w:t>
      </w:r>
      <w:r>
        <w:rPr>
          <w:sz w:val="18"/>
        </w:rPr>
        <w:t>aplicadas</w:t>
      </w:r>
      <w:r>
        <w:rPr>
          <w:spacing w:val="-12"/>
          <w:sz w:val="18"/>
        </w:rPr>
        <w:t> </w:t>
      </w:r>
      <w:r>
        <w:rPr>
          <w:sz w:val="18"/>
        </w:rPr>
        <w:t>son</w:t>
      </w:r>
      <w:r>
        <w:rPr>
          <w:spacing w:val="-13"/>
          <w:sz w:val="18"/>
        </w:rPr>
        <w:t> </w:t>
      </w:r>
      <w:r>
        <w:rPr>
          <w:sz w:val="18"/>
        </w:rPr>
        <w:t>adecuadas</w:t>
      </w:r>
      <w:r>
        <w:rPr>
          <w:spacing w:val="-12"/>
          <w:sz w:val="18"/>
        </w:rPr>
        <w:t> </w:t>
      </w:r>
      <w:r>
        <w:rPr>
          <w:sz w:val="18"/>
        </w:rPr>
        <w:t>y</w:t>
      </w:r>
      <w:r>
        <w:rPr>
          <w:spacing w:val="-12"/>
          <w:sz w:val="18"/>
        </w:rPr>
        <w:t> </w:t>
      </w:r>
      <w:r>
        <w:rPr>
          <w:sz w:val="18"/>
        </w:rPr>
        <w:t>la</w:t>
      </w:r>
      <w:r>
        <w:rPr>
          <w:spacing w:val="-13"/>
          <w:sz w:val="18"/>
        </w:rPr>
        <w:t> </w:t>
      </w:r>
      <w:r>
        <w:rPr>
          <w:sz w:val="18"/>
        </w:rPr>
        <w:t>razonabilidad</w:t>
      </w:r>
      <w:r>
        <w:rPr>
          <w:spacing w:val="-12"/>
          <w:sz w:val="18"/>
        </w:rPr>
        <w:t> </w:t>
      </w:r>
      <w:r>
        <w:rPr>
          <w:sz w:val="18"/>
        </w:rPr>
        <w:t>de</w:t>
      </w:r>
      <w:r>
        <w:rPr>
          <w:spacing w:val="-12"/>
          <w:sz w:val="18"/>
        </w:rPr>
        <w:t> </w:t>
      </w:r>
      <w:r>
        <w:rPr>
          <w:sz w:val="18"/>
        </w:rPr>
        <w:t>las</w:t>
      </w:r>
      <w:r>
        <w:rPr>
          <w:spacing w:val="-13"/>
          <w:sz w:val="18"/>
        </w:rPr>
        <w:t> </w:t>
      </w:r>
      <w:r>
        <w:rPr>
          <w:sz w:val="18"/>
        </w:rPr>
        <w:t>estimaciones contables y la correspondiente información revelada por la Junta de Gobierno.</w:t>
      </w:r>
    </w:p>
    <w:p>
      <w:pPr>
        <w:pStyle w:val="ListParagraph"/>
        <w:numPr>
          <w:ilvl w:val="0"/>
          <w:numId w:val="1"/>
        </w:numPr>
        <w:tabs>
          <w:tab w:pos="862" w:val="left" w:leader="none"/>
        </w:tabs>
        <w:spacing w:line="276" w:lineRule="auto" w:before="59" w:after="0"/>
        <w:ind w:left="729" w:right="115" w:firstLine="0"/>
        <w:jc w:val="both"/>
        <w:rPr>
          <w:sz w:val="18"/>
        </w:rPr>
      </w:pPr>
      <w:r>
        <w:rPr>
          <w:sz w:val="18"/>
        </w:rPr>
        <w:t>Concluimos sobre si es adecuada la utilización, por la Junta de Gobierno, del principio contable de empresa en funcionamiento y, basándonos en la evidencia de auditoría obtenida, concluimos sobre si existe o no una incertidumbre material relacionada con hechos o con condiciones que pueden</w:t>
      </w:r>
      <w:r>
        <w:rPr>
          <w:spacing w:val="-1"/>
          <w:sz w:val="18"/>
        </w:rPr>
        <w:t> </w:t>
      </w:r>
      <w:r>
        <w:rPr>
          <w:sz w:val="18"/>
        </w:rPr>
        <w:t>generar dudas significativas sobre</w:t>
      </w:r>
      <w:r>
        <w:rPr>
          <w:spacing w:val="-1"/>
          <w:sz w:val="18"/>
        </w:rPr>
        <w:t> </w:t>
      </w:r>
      <w:r>
        <w:rPr>
          <w:sz w:val="18"/>
        </w:rPr>
        <w:t>la capacidad del Colegio para continuar como empresa en</w:t>
      </w:r>
      <w:r>
        <w:rPr>
          <w:spacing w:val="-8"/>
          <w:sz w:val="18"/>
        </w:rPr>
        <w:t> </w:t>
      </w:r>
      <w:r>
        <w:rPr>
          <w:sz w:val="18"/>
        </w:rPr>
        <w:t>funcionamiento.</w:t>
      </w:r>
      <w:r>
        <w:rPr>
          <w:spacing w:val="-8"/>
          <w:sz w:val="18"/>
        </w:rPr>
        <w:t> </w:t>
      </w:r>
      <w:r>
        <w:rPr>
          <w:sz w:val="18"/>
        </w:rPr>
        <w:t>Si</w:t>
      </w:r>
      <w:r>
        <w:rPr>
          <w:spacing w:val="-8"/>
          <w:sz w:val="18"/>
        </w:rPr>
        <w:t> </w:t>
      </w:r>
      <w:r>
        <w:rPr>
          <w:sz w:val="18"/>
        </w:rPr>
        <w:t>concluimos</w:t>
      </w:r>
      <w:r>
        <w:rPr>
          <w:spacing w:val="-7"/>
          <w:sz w:val="18"/>
        </w:rPr>
        <w:t> </w:t>
      </w:r>
      <w:r>
        <w:rPr>
          <w:sz w:val="18"/>
        </w:rPr>
        <w:t>que</w:t>
      </w:r>
      <w:r>
        <w:rPr>
          <w:spacing w:val="-8"/>
          <w:sz w:val="18"/>
        </w:rPr>
        <w:t> </w:t>
      </w:r>
      <w:r>
        <w:rPr>
          <w:sz w:val="18"/>
        </w:rPr>
        <w:t>existe</w:t>
      </w:r>
      <w:r>
        <w:rPr>
          <w:spacing w:val="-8"/>
          <w:sz w:val="18"/>
        </w:rPr>
        <w:t> </w:t>
      </w:r>
      <w:r>
        <w:rPr>
          <w:sz w:val="18"/>
        </w:rPr>
        <w:t>una</w:t>
      </w:r>
      <w:r>
        <w:rPr>
          <w:spacing w:val="-8"/>
          <w:sz w:val="18"/>
        </w:rPr>
        <w:t> </w:t>
      </w:r>
      <w:r>
        <w:rPr>
          <w:sz w:val="18"/>
        </w:rPr>
        <w:t>incertidumbre</w:t>
      </w:r>
      <w:r>
        <w:rPr>
          <w:spacing w:val="-8"/>
          <w:sz w:val="18"/>
        </w:rPr>
        <w:t> </w:t>
      </w:r>
      <w:r>
        <w:rPr>
          <w:sz w:val="18"/>
        </w:rPr>
        <w:t>material,</w:t>
      </w:r>
      <w:r>
        <w:rPr>
          <w:spacing w:val="-8"/>
          <w:sz w:val="18"/>
        </w:rPr>
        <w:t> </w:t>
      </w:r>
      <w:r>
        <w:rPr>
          <w:sz w:val="18"/>
        </w:rPr>
        <w:t>se</w:t>
      </w:r>
      <w:r>
        <w:rPr>
          <w:spacing w:val="-8"/>
          <w:sz w:val="18"/>
        </w:rPr>
        <w:t> </w:t>
      </w:r>
      <w:r>
        <w:rPr>
          <w:sz w:val="18"/>
        </w:rPr>
        <w:t>requiere</w:t>
      </w:r>
      <w:r>
        <w:rPr>
          <w:spacing w:val="-8"/>
          <w:sz w:val="18"/>
        </w:rPr>
        <w:t> </w:t>
      </w:r>
      <w:r>
        <w:rPr>
          <w:sz w:val="18"/>
        </w:rPr>
        <w:t>que</w:t>
      </w:r>
      <w:r>
        <w:rPr>
          <w:spacing w:val="-8"/>
          <w:sz w:val="18"/>
        </w:rPr>
        <w:t> </w:t>
      </w:r>
      <w:r>
        <w:rPr>
          <w:sz w:val="18"/>
        </w:rPr>
        <w:t>llamemos la atención en nuestro informe de auditoría sobre la correspondiente información revelada en los estados financieros o, si dichas revelaciones no son adecuadas, que expresemos una opinión modificada.</w:t>
      </w:r>
      <w:r>
        <w:rPr>
          <w:spacing w:val="-6"/>
          <w:sz w:val="18"/>
        </w:rPr>
        <w:t> </w:t>
      </w:r>
      <w:r>
        <w:rPr>
          <w:sz w:val="18"/>
        </w:rPr>
        <w:t>Nuestras</w:t>
      </w:r>
      <w:r>
        <w:rPr>
          <w:spacing w:val="-5"/>
          <w:sz w:val="18"/>
        </w:rPr>
        <w:t> </w:t>
      </w:r>
      <w:r>
        <w:rPr>
          <w:sz w:val="18"/>
        </w:rPr>
        <w:t>conclusiones</w:t>
      </w:r>
      <w:r>
        <w:rPr>
          <w:spacing w:val="-5"/>
          <w:sz w:val="18"/>
        </w:rPr>
        <w:t> </w:t>
      </w:r>
      <w:r>
        <w:rPr>
          <w:sz w:val="18"/>
        </w:rPr>
        <w:t>se</w:t>
      </w:r>
      <w:r>
        <w:rPr>
          <w:spacing w:val="-6"/>
          <w:sz w:val="18"/>
        </w:rPr>
        <w:t> </w:t>
      </w:r>
      <w:r>
        <w:rPr>
          <w:sz w:val="18"/>
        </w:rPr>
        <w:t>basan</w:t>
      </w:r>
      <w:r>
        <w:rPr>
          <w:spacing w:val="-7"/>
          <w:sz w:val="18"/>
        </w:rPr>
        <w:t> </w:t>
      </w:r>
      <w:r>
        <w:rPr>
          <w:sz w:val="18"/>
        </w:rPr>
        <w:t>en</w:t>
      </w:r>
      <w:r>
        <w:rPr>
          <w:spacing w:val="-8"/>
          <w:sz w:val="18"/>
        </w:rPr>
        <w:t> </w:t>
      </w:r>
      <w:r>
        <w:rPr>
          <w:sz w:val="18"/>
        </w:rPr>
        <w:t>la</w:t>
      </w:r>
      <w:r>
        <w:rPr>
          <w:spacing w:val="-6"/>
          <w:sz w:val="18"/>
        </w:rPr>
        <w:t> </w:t>
      </w:r>
      <w:r>
        <w:rPr>
          <w:sz w:val="18"/>
        </w:rPr>
        <w:t>evidencia</w:t>
      </w:r>
      <w:r>
        <w:rPr>
          <w:spacing w:val="-8"/>
          <w:sz w:val="18"/>
        </w:rPr>
        <w:t> </w:t>
      </w:r>
      <w:r>
        <w:rPr>
          <w:sz w:val="18"/>
        </w:rPr>
        <w:t>de</w:t>
      </w:r>
      <w:r>
        <w:rPr>
          <w:spacing w:val="-6"/>
          <w:sz w:val="18"/>
        </w:rPr>
        <w:t> </w:t>
      </w:r>
      <w:r>
        <w:rPr>
          <w:sz w:val="18"/>
        </w:rPr>
        <w:t>auditoría</w:t>
      </w:r>
      <w:r>
        <w:rPr>
          <w:spacing w:val="-6"/>
          <w:sz w:val="18"/>
        </w:rPr>
        <w:t> </w:t>
      </w:r>
      <w:r>
        <w:rPr>
          <w:sz w:val="18"/>
        </w:rPr>
        <w:t>obtenida</w:t>
      </w:r>
      <w:r>
        <w:rPr>
          <w:spacing w:val="-6"/>
          <w:sz w:val="18"/>
        </w:rPr>
        <w:t> </w:t>
      </w:r>
      <w:r>
        <w:rPr>
          <w:sz w:val="18"/>
        </w:rPr>
        <w:t>hasta</w:t>
      </w:r>
      <w:r>
        <w:rPr>
          <w:spacing w:val="-6"/>
          <w:sz w:val="18"/>
        </w:rPr>
        <w:t> </w:t>
      </w:r>
      <w:r>
        <w:rPr>
          <w:sz w:val="18"/>
        </w:rPr>
        <w:t>la</w:t>
      </w:r>
      <w:r>
        <w:rPr>
          <w:spacing w:val="-6"/>
          <w:sz w:val="18"/>
        </w:rPr>
        <w:t> </w:t>
      </w:r>
      <w:r>
        <w:rPr>
          <w:sz w:val="18"/>
        </w:rPr>
        <w:t>fecha</w:t>
      </w:r>
      <w:r>
        <w:rPr>
          <w:spacing w:val="-6"/>
          <w:sz w:val="18"/>
        </w:rPr>
        <w:t> </w:t>
      </w:r>
      <w:r>
        <w:rPr>
          <w:sz w:val="18"/>
        </w:rPr>
        <w:t>de</w:t>
      </w:r>
    </w:p>
    <w:p>
      <w:pPr>
        <w:spacing w:after="0" w:line="276" w:lineRule="auto"/>
        <w:jc w:val="both"/>
        <w:rPr>
          <w:sz w:val="18"/>
        </w:rPr>
        <w:sectPr>
          <w:pgSz w:w="11910" w:h="16840"/>
          <w:pgMar w:header="804" w:footer="1529" w:top="2000" w:bottom="1720" w:left="1680" w:right="1580"/>
        </w:sectPr>
      </w:pPr>
    </w:p>
    <w:p>
      <w:pPr>
        <w:pStyle w:val="BodyText"/>
        <w:spacing w:before="154"/>
      </w:pPr>
    </w:p>
    <w:p>
      <w:pPr>
        <w:pStyle w:val="BodyText"/>
        <w:spacing w:line="276" w:lineRule="auto"/>
        <w:ind w:left="729" w:right="119"/>
        <w:jc w:val="both"/>
      </w:pPr>
      <w:r>
        <w:rPr/>
        <w:t>nuestro informe de auditoría. Sin embargo, los hechos o condiciones futuros pueden ser causa de que la entidad deje de ser una empresa en funcionamiento.</w:t>
      </w:r>
    </w:p>
    <w:p>
      <w:pPr>
        <w:pStyle w:val="ListParagraph"/>
        <w:numPr>
          <w:ilvl w:val="0"/>
          <w:numId w:val="1"/>
        </w:numPr>
        <w:tabs>
          <w:tab w:pos="855" w:val="left" w:leader="none"/>
        </w:tabs>
        <w:spacing w:line="276" w:lineRule="auto" w:before="60" w:after="0"/>
        <w:ind w:left="729" w:right="119" w:firstLine="0"/>
        <w:jc w:val="both"/>
        <w:rPr>
          <w:sz w:val="18"/>
        </w:rPr>
      </w:pPr>
      <w:r>
        <w:rPr>
          <w:sz w:val="18"/>
        </w:rPr>
        <w:t>Evaluamos</w:t>
      </w:r>
      <w:r>
        <w:rPr>
          <w:spacing w:val="-3"/>
          <w:sz w:val="18"/>
        </w:rPr>
        <w:t> </w:t>
      </w:r>
      <w:r>
        <w:rPr>
          <w:sz w:val="18"/>
        </w:rPr>
        <w:t>la</w:t>
      </w:r>
      <w:r>
        <w:rPr>
          <w:spacing w:val="-1"/>
          <w:sz w:val="18"/>
        </w:rPr>
        <w:t> </w:t>
      </w:r>
      <w:r>
        <w:rPr>
          <w:sz w:val="18"/>
        </w:rPr>
        <w:t>presentación</w:t>
      </w:r>
      <w:r>
        <w:rPr>
          <w:spacing w:val="-2"/>
          <w:sz w:val="18"/>
        </w:rPr>
        <w:t> </w:t>
      </w:r>
      <w:r>
        <w:rPr>
          <w:sz w:val="18"/>
        </w:rPr>
        <w:t>global,</w:t>
      </w:r>
      <w:r>
        <w:rPr>
          <w:spacing w:val="-2"/>
          <w:sz w:val="18"/>
        </w:rPr>
        <w:t> </w:t>
      </w:r>
      <w:r>
        <w:rPr>
          <w:sz w:val="18"/>
        </w:rPr>
        <w:t>la</w:t>
      </w:r>
      <w:r>
        <w:rPr>
          <w:spacing w:val="-1"/>
          <w:sz w:val="18"/>
        </w:rPr>
        <w:t> </w:t>
      </w:r>
      <w:r>
        <w:rPr>
          <w:sz w:val="18"/>
        </w:rPr>
        <w:t>estructura</w:t>
      </w:r>
      <w:r>
        <w:rPr>
          <w:spacing w:val="-1"/>
          <w:sz w:val="18"/>
        </w:rPr>
        <w:t> </w:t>
      </w:r>
      <w:r>
        <w:rPr>
          <w:sz w:val="18"/>
        </w:rPr>
        <w:t>y</w:t>
      </w:r>
      <w:r>
        <w:rPr>
          <w:spacing w:val="-2"/>
          <w:sz w:val="18"/>
        </w:rPr>
        <w:t> </w:t>
      </w:r>
      <w:r>
        <w:rPr>
          <w:sz w:val="18"/>
        </w:rPr>
        <w:t>el</w:t>
      </w:r>
      <w:r>
        <w:rPr>
          <w:spacing w:val="-1"/>
          <w:sz w:val="18"/>
        </w:rPr>
        <w:t> </w:t>
      </w:r>
      <w:r>
        <w:rPr>
          <w:sz w:val="18"/>
        </w:rPr>
        <w:t>contenido</w:t>
      </w:r>
      <w:r>
        <w:rPr>
          <w:spacing w:val="-1"/>
          <w:sz w:val="18"/>
        </w:rPr>
        <w:t> </w:t>
      </w:r>
      <w:r>
        <w:rPr>
          <w:sz w:val="18"/>
        </w:rPr>
        <w:t>de</w:t>
      </w:r>
      <w:r>
        <w:rPr>
          <w:spacing w:val="-2"/>
          <w:sz w:val="18"/>
        </w:rPr>
        <w:t> </w:t>
      </w:r>
      <w:r>
        <w:rPr>
          <w:sz w:val="18"/>
        </w:rPr>
        <w:t>los</w:t>
      </w:r>
      <w:r>
        <w:rPr>
          <w:spacing w:val="-3"/>
          <w:sz w:val="18"/>
        </w:rPr>
        <w:t> </w:t>
      </w:r>
      <w:r>
        <w:rPr>
          <w:sz w:val="18"/>
        </w:rPr>
        <w:t>estados</w:t>
      </w:r>
      <w:r>
        <w:rPr>
          <w:spacing w:val="-1"/>
          <w:sz w:val="18"/>
        </w:rPr>
        <w:t> </w:t>
      </w:r>
      <w:r>
        <w:rPr>
          <w:sz w:val="18"/>
        </w:rPr>
        <w:t>financieros</w:t>
      </w:r>
      <w:r>
        <w:rPr>
          <w:spacing w:val="-1"/>
          <w:sz w:val="18"/>
        </w:rPr>
        <w:t> </w:t>
      </w:r>
      <w:r>
        <w:rPr>
          <w:sz w:val="18"/>
        </w:rPr>
        <w:t>incluida la información revelada, y si los estados financieros representan las transacciones y hechos subyacentes de un modo que logran expresar la imagen fiel.</w:t>
      </w:r>
    </w:p>
    <w:p>
      <w:pPr>
        <w:pStyle w:val="BodyText"/>
        <w:spacing w:line="276" w:lineRule="auto" w:before="121"/>
        <w:ind w:left="162" w:right="115"/>
        <w:jc w:val="both"/>
      </w:pPr>
      <w:r>
        <w:rPr/>
        <w:drawing>
          <wp:anchor distT="0" distB="0" distL="0" distR="0" allowOverlap="1" layoutInCell="1" locked="0" behindDoc="1" simplePos="0" relativeHeight="487526912">
            <wp:simplePos x="0" y="0"/>
            <wp:positionH relativeFrom="page">
              <wp:posOffset>1189173</wp:posOffset>
            </wp:positionH>
            <wp:positionV relativeFrom="paragraph">
              <wp:posOffset>670760</wp:posOffset>
            </wp:positionV>
            <wp:extent cx="4983707" cy="484407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4983707" cy="4844075"/>
                    </a:xfrm>
                    <a:prstGeom prst="rect">
                      <a:avLst/>
                    </a:prstGeom>
                  </pic:spPr>
                </pic:pic>
              </a:graphicData>
            </a:graphic>
          </wp:anchor>
        </w:drawing>
      </w:r>
      <w:r>
        <w:rPr/>
        <w:t>Nos comunicamos con los responsables del gobierno de la entidad </w:t>
      </w:r>
      <w:r>
        <w:rPr>
          <w:b/>
        </w:rPr>
        <w:t>COLEGIO OFICIAL DE FARMACÉUTICOS DE LAS PALMAS (COFLP) </w:t>
      </w:r>
      <w:r>
        <w:rPr/>
        <w:t>en relación con, entre otras cuestiones, el alcance y el momento</w:t>
      </w:r>
      <w:r>
        <w:rPr>
          <w:spacing w:val="-2"/>
        </w:rPr>
        <w:t> </w:t>
      </w:r>
      <w:r>
        <w:rPr/>
        <w:t>de</w:t>
      </w:r>
      <w:r>
        <w:rPr>
          <w:spacing w:val="-3"/>
        </w:rPr>
        <w:t> </w:t>
      </w:r>
      <w:r>
        <w:rPr/>
        <w:t>realización</w:t>
      </w:r>
      <w:r>
        <w:rPr>
          <w:spacing w:val="-3"/>
        </w:rPr>
        <w:t> </w:t>
      </w:r>
      <w:r>
        <w:rPr/>
        <w:t>de</w:t>
      </w:r>
      <w:r>
        <w:rPr>
          <w:spacing w:val="-3"/>
        </w:rPr>
        <w:t> </w:t>
      </w:r>
      <w:r>
        <w:rPr/>
        <w:t>la</w:t>
      </w:r>
      <w:r>
        <w:rPr>
          <w:spacing w:val="-5"/>
        </w:rPr>
        <w:t> </w:t>
      </w:r>
      <w:r>
        <w:rPr/>
        <w:t>auditoría</w:t>
      </w:r>
      <w:r>
        <w:rPr>
          <w:spacing w:val="-3"/>
        </w:rPr>
        <w:t> </w:t>
      </w:r>
      <w:r>
        <w:rPr/>
        <w:t>planificados</w:t>
      </w:r>
      <w:r>
        <w:rPr>
          <w:spacing w:val="-2"/>
        </w:rPr>
        <w:t> </w:t>
      </w:r>
      <w:r>
        <w:rPr/>
        <w:t>y</w:t>
      </w:r>
      <w:r>
        <w:rPr>
          <w:spacing w:val="-3"/>
        </w:rPr>
        <w:t> </w:t>
      </w:r>
      <w:r>
        <w:rPr/>
        <w:t>los</w:t>
      </w:r>
      <w:r>
        <w:rPr>
          <w:spacing w:val="-2"/>
        </w:rPr>
        <w:t> </w:t>
      </w:r>
      <w:r>
        <w:rPr/>
        <w:t>hallazgos</w:t>
      </w:r>
      <w:r>
        <w:rPr>
          <w:spacing w:val="-2"/>
        </w:rPr>
        <w:t> </w:t>
      </w:r>
      <w:r>
        <w:rPr/>
        <w:t>significativos</w:t>
      </w:r>
      <w:r>
        <w:rPr>
          <w:spacing w:val="-2"/>
        </w:rPr>
        <w:t> </w:t>
      </w:r>
      <w:r>
        <w:rPr/>
        <w:t>de</w:t>
      </w:r>
      <w:r>
        <w:rPr>
          <w:spacing w:val="-3"/>
        </w:rPr>
        <w:t> </w:t>
      </w:r>
      <w:r>
        <w:rPr/>
        <w:t>la</w:t>
      </w:r>
      <w:r>
        <w:rPr>
          <w:spacing w:val="-3"/>
        </w:rPr>
        <w:t> </w:t>
      </w:r>
      <w:r>
        <w:rPr/>
        <w:t>auditoría,</w:t>
      </w:r>
      <w:r>
        <w:rPr>
          <w:spacing w:val="-3"/>
        </w:rPr>
        <w:t> </w:t>
      </w:r>
      <w:r>
        <w:rPr/>
        <w:t>así</w:t>
      </w:r>
      <w:r>
        <w:rPr>
          <w:spacing w:val="-3"/>
        </w:rPr>
        <w:t> </w:t>
      </w:r>
      <w:r>
        <w:rPr/>
        <w:t>como cualquier deficiencia significativa del control interno que identificamos en el transcurso de la auditoría.</w:t>
      </w:r>
    </w:p>
    <w:p>
      <w:pPr>
        <w:spacing w:line="247" w:lineRule="auto" w:before="48"/>
        <w:ind w:left="513" w:right="6477" w:hanging="351"/>
        <w:jc w:val="left"/>
        <w:rPr>
          <w:b/>
          <w:i/>
          <w:sz w:val="19"/>
        </w:rPr>
      </w:pPr>
      <w:r>
        <w:rPr>
          <w:b/>
          <w:i/>
          <w:w w:val="85"/>
          <w:sz w:val="19"/>
        </w:rPr>
        <w:t>LUJÁN AUDITORES, S.L. </w:t>
      </w:r>
      <w:r>
        <w:rPr>
          <w:b/>
          <w:i/>
          <w:w w:val="95"/>
          <w:sz w:val="19"/>
        </w:rPr>
        <w:t>Nº ROAC S0615</w:t>
      </w:r>
    </w:p>
    <w:p>
      <w:pPr>
        <w:pStyle w:val="BodyText"/>
        <w:spacing w:before="8"/>
        <w:ind w:left="4411"/>
      </w:pPr>
      <w:r>
        <w:rPr/>
        <w:t>Las</w:t>
      </w:r>
      <w:r>
        <w:rPr>
          <w:spacing w:val="-2"/>
        </w:rPr>
        <w:t> </w:t>
      </w:r>
      <w:r>
        <w:rPr/>
        <w:t>Palmas</w:t>
      </w:r>
      <w:r>
        <w:rPr>
          <w:spacing w:val="-1"/>
        </w:rPr>
        <w:t> </w:t>
      </w:r>
      <w:r>
        <w:rPr/>
        <w:t>de</w:t>
      </w:r>
      <w:r>
        <w:rPr>
          <w:spacing w:val="-3"/>
        </w:rPr>
        <w:t> </w:t>
      </w:r>
      <w:r>
        <w:rPr/>
        <w:t>Gran</w:t>
      </w:r>
      <w:r>
        <w:rPr>
          <w:spacing w:val="-2"/>
        </w:rPr>
        <w:t> </w:t>
      </w:r>
      <w:r>
        <w:rPr/>
        <w:t>Canaria,</w:t>
      </w:r>
      <w:r>
        <w:rPr>
          <w:spacing w:val="-2"/>
        </w:rPr>
        <w:t> </w:t>
      </w:r>
      <w:r>
        <w:rPr/>
        <w:t>a</w:t>
      </w:r>
      <w:r>
        <w:rPr>
          <w:spacing w:val="-3"/>
        </w:rPr>
        <w:t> </w:t>
      </w:r>
      <w:r>
        <w:rPr>
          <w:color w:val="000000"/>
          <w:highlight w:val="yellow"/>
        </w:rPr>
        <w:t>xx</w:t>
      </w:r>
      <w:r>
        <w:rPr>
          <w:color w:val="000000"/>
          <w:spacing w:val="-1"/>
        </w:rPr>
        <w:t> </w:t>
      </w:r>
      <w:r>
        <w:rPr>
          <w:color w:val="000000"/>
        </w:rPr>
        <w:t>de</w:t>
      </w:r>
      <w:r>
        <w:rPr>
          <w:color w:val="000000"/>
          <w:spacing w:val="-3"/>
        </w:rPr>
        <w:t> </w:t>
      </w:r>
      <w:r>
        <w:rPr>
          <w:color w:val="000000"/>
        </w:rPr>
        <w:t>Marzo</w:t>
      </w:r>
      <w:r>
        <w:rPr>
          <w:color w:val="000000"/>
          <w:spacing w:val="-1"/>
        </w:rPr>
        <w:t> </w:t>
      </w:r>
      <w:r>
        <w:rPr>
          <w:color w:val="000000"/>
        </w:rPr>
        <w:t>de</w:t>
      </w:r>
      <w:r>
        <w:rPr>
          <w:color w:val="000000"/>
          <w:spacing w:val="-2"/>
        </w:rPr>
        <w:t> </w:t>
      </w:r>
      <w:r>
        <w:rPr>
          <w:color w:val="000000"/>
          <w:spacing w:val="-4"/>
        </w:rPr>
        <w:t>2025.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pStyle w:val="BodyText"/>
        <w:spacing w:line="249" w:lineRule="auto"/>
        <w:ind w:left="5447" w:right="1393" w:hanging="329"/>
      </w:pPr>
      <w:r>
        <w:rPr/>
        <w:t>Fdo.</w:t>
      </w:r>
      <w:r>
        <w:rPr>
          <w:spacing w:val="-11"/>
        </w:rPr>
        <w:t> </w:t>
      </w:r>
      <w:r>
        <w:rPr/>
        <w:t>Soraya</w:t>
      </w:r>
      <w:r>
        <w:rPr>
          <w:spacing w:val="-11"/>
        </w:rPr>
        <w:t> </w:t>
      </w:r>
      <w:r>
        <w:rPr/>
        <w:t>Gómez</w:t>
      </w:r>
      <w:r>
        <w:rPr>
          <w:spacing w:val="-11"/>
        </w:rPr>
        <w:t> </w:t>
      </w:r>
      <w:r>
        <w:rPr/>
        <w:t>Ortega ROAC Nº 17880 </w:t>
      </w:r>
      <w:r>
        <w:rPr>
          <w:spacing w:val="-2"/>
        </w:rPr>
        <w:t>SOCIO-AUDITOR</w:t>
      </w:r>
    </w:p>
    <w:sectPr>
      <w:pgSz w:w="11910" w:h="16840"/>
      <w:pgMar w:header="804" w:footer="1529" w:top="2000" w:bottom="17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Ebrima">
    <w:altName w:val="Ebrima"/>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5888">
              <wp:simplePos x="0" y="0"/>
              <wp:positionH relativeFrom="page">
                <wp:posOffset>1157732</wp:posOffset>
              </wp:positionH>
              <wp:positionV relativeFrom="page">
                <wp:posOffset>9582022</wp:posOffset>
              </wp:positionV>
              <wp:extent cx="2912110" cy="5010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12110" cy="501015"/>
                      </a:xfrm>
                      <a:prstGeom prst="rect">
                        <a:avLst/>
                      </a:prstGeom>
                    </wps:spPr>
                    <wps:txbx>
                      <w:txbxContent>
                        <w:p>
                          <w:pPr>
                            <w:spacing w:line="184" w:lineRule="exact" w:before="0"/>
                            <w:ind w:left="20" w:right="0" w:firstLine="0"/>
                            <w:jc w:val="left"/>
                            <w:rPr>
                              <w:rFonts w:ascii="Calibri" w:hAnsi="Calibri"/>
                              <w:sz w:val="16"/>
                            </w:rPr>
                          </w:pPr>
                          <w:r>
                            <w:rPr>
                              <w:rFonts w:ascii="Calibri" w:hAnsi="Calibri"/>
                              <w:sz w:val="16"/>
                            </w:rPr>
                            <w:t>C/</w:t>
                          </w:r>
                          <w:r>
                            <w:rPr>
                              <w:rFonts w:ascii="Calibri" w:hAnsi="Calibri"/>
                              <w:spacing w:val="-5"/>
                              <w:sz w:val="16"/>
                            </w:rPr>
                            <w:t> </w:t>
                          </w:r>
                          <w:r>
                            <w:rPr>
                              <w:rFonts w:ascii="Calibri" w:hAnsi="Calibri"/>
                              <w:sz w:val="16"/>
                            </w:rPr>
                            <w:t>Obispo</w:t>
                          </w:r>
                          <w:r>
                            <w:rPr>
                              <w:rFonts w:ascii="Calibri" w:hAnsi="Calibri"/>
                              <w:spacing w:val="-4"/>
                              <w:sz w:val="16"/>
                            </w:rPr>
                            <w:t> </w:t>
                          </w:r>
                          <w:r>
                            <w:rPr>
                              <w:rFonts w:ascii="Calibri" w:hAnsi="Calibri"/>
                              <w:sz w:val="16"/>
                            </w:rPr>
                            <w:t>Encina,</w:t>
                          </w:r>
                          <w:r>
                            <w:rPr>
                              <w:rFonts w:ascii="Calibri" w:hAnsi="Calibri"/>
                              <w:spacing w:val="-2"/>
                              <w:sz w:val="16"/>
                            </w:rPr>
                            <w:t> </w:t>
                          </w:r>
                          <w:r>
                            <w:rPr>
                              <w:rFonts w:ascii="Calibri" w:hAnsi="Calibri"/>
                              <w:sz w:val="16"/>
                            </w:rPr>
                            <w:t>11</w:t>
                          </w:r>
                          <w:r>
                            <w:rPr>
                              <w:rFonts w:ascii="Calibri" w:hAnsi="Calibri"/>
                              <w:spacing w:val="-4"/>
                              <w:sz w:val="16"/>
                            </w:rPr>
                            <w:t> </w:t>
                          </w:r>
                          <w:r>
                            <w:rPr>
                              <w:rFonts w:ascii="Calibri" w:hAnsi="Calibri"/>
                              <w:sz w:val="16"/>
                            </w:rPr>
                            <w:t>-</w:t>
                          </w:r>
                          <w:r>
                            <w:rPr>
                              <w:rFonts w:ascii="Calibri" w:hAnsi="Calibri"/>
                              <w:spacing w:val="-1"/>
                              <w:sz w:val="16"/>
                            </w:rPr>
                            <w:t> </w:t>
                          </w:r>
                          <w:r>
                            <w:rPr>
                              <w:rFonts w:ascii="Calibri" w:hAnsi="Calibri"/>
                              <w:sz w:val="16"/>
                            </w:rPr>
                            <w:t>1º,</w:t>
                          </w:r>
                          <w:r>
                            <w:rPr>
                              <w:rFonts w:ascii="Calibri" w:hAnsi="Calibri"/>
                              <w:spacing w:val="-3"/>
                              <w:sz w:val="16"/>
                            </w:rPr>
                            <w:t> </w:t>
                          </w:r>
                          <w:r>
                            <w:rPr>
                              <w:rFonts w:ascii="Calibri" w:hAnsi="Calibri"/>
                              <w:sz w:val="16"/>
                            </w:rPr>
                            <w:t>35004</w:t>
                          </w:r>
                          <w:r>
                            <w:rPr>
                              <w:rFonts w:ascii="Calibri" w:hAnsi="Calibri"/>
                              <w:spacing w:val="-3"/>
                              <w:sz w:val="16"/>
                            </w:rPr>
                            <w:t> </w:t>
                          </w:r>
                          <w:r>
                            <w:rPr>
                              <w:rFonts w:ascii="Calibri" w:hAnsi="Calibri"/>
                              <w:sz w:val="16"/>
                            </w:rPr>
                            <w:t>Las</w:t>
                          </w:r>
                          <w:r>
                            <w:rPr>
                              <w:rFonts w:ascii="Calibri" w:hAnsi="Calibri"/>
                              <w:spacing w:val="-6"/>
                              <w:sz w:val="16"/>
                            </w:rPr>
                            <w:t> </w:t>
                          </w:r>
                          <w:r>
                            <w:rPr>
                              <w:rFonts w:ascii="Calibri" w:hAnsi="Calibri"/>
                              <w:sz w:val="16"/>
                            </w:rPr>
                            <w:t>Palmas</w:t>
                          </w:r>
                          <w:r>
                            <w:rPr>
                              <w:rFonts w:ascii="Calibri" w:hAnsi="Calibri"/>
                              <w:spacing w:val="-4"/>
                              <w:sz w:val="16"/>
                            </w:rPr>
                            <w:t> </w:t>
                          </w:r>
                          <w:r>
                            <w:rPr>
                              <w:rFonts w:ascii="Calibri" w:hAnsi="Calibri"/>
                              <w:sz w:val="16"/>
                            </w:rPr>
                            <w:t>de</w:t>
                          </w:r>
                          <w:r>
                            <w:rPr>
                              <w:rFonts w:ascii="Calibri" w:hAnsi="Calibri"/>
                              <w:spacing w:val="-3"/>
                              <w:sz w:val="16"/>
                            </w:rPr>
                            <w:t> </w:t>
                          </w:r>
                          <w:r>
                            <w:rPr>
                              <w:rFonts w:ascii="Calibri" w:hAnsi="Calibri"/>
                              <w:sz w:val="16"/>
                            </w:rPr>
                            <w:t>Gran</w:t>
                          </w:r>
                          <w:r>
                            <w:rPr>
                              <w:rFonts w:ascii="Calibri" w:hAnsi="Calibri"/>
                              <w:spacing w:val="-4"/>
                              <w:sz w:val="16"/>
                            </w:rPr>
                            <w:t> </w:t>
                          </w:r>
                          <w:r>
                            <w:rPr>
                              <w:rFonts w:ascii="Calibri" w:hAnsi="Calibri"/>
                              <w:sz w:val="16"/>
                            </w:rPr>
                            <w:t>Canaria.</w:t>
                          </w:r>
                          <w:r>
                            <w:rPr>
                              <w:rFonts w:ascii="Calibri" w:hAnsi="Calibri"/>
                              <w:spacing w:val="-2"/>
                              <w:sz w:val="16"/>
                            </w:rPr>
                            <w:t> España</w:t>
                          </w:r>
                        </w:p>
                        <w:p>
                          <w:pPr>
                            <w:spacing w:line="195" w:lineRule="exact" w:before="1"/>
                            <w:ind w:left="20" w:right="0" w:firstLine="0"/>
                            <w:jc w:val="left"/>
                            <w:rPr>
                              <w:rFonts w:ascii="Calibri"/>
                              <w:sz w:val="16"/>
                            </w:rPr>
                          </w:pPr>
                          <w:r>
                            <w:rPr>
                              <w:rFonts w:ascii="Calibri"/>
                              <w:sz w:val="16"/>
                            </w:rPr>
                            <w:t>Tel:</w:t>
                          </w:r>
                          <w:r>
                            <w:rPr>
                              <w:rFonts w:ascii="Calibri"/>
                              <w:spacing w:val="-1"/>
                              <w:sz w:val="16"/>
                            </w:rPr>
                            <w:t> </w:t>
                          </w:r>
                          <w:r>
                            <w:rPr>
                              <w:rFonts w:ascii="Calibri"/>
                              <w:sz w:val="16"/>
                            </w:rPr>
                            <w:t>928</w:t>
                          </w:r>
                          <w:r>
                            <w:rPr>
                              <w:rFonts w:ascii="Calibri"/>
                              <w:spacing w:val="-2"/>
                              <w:sz w:val="16"/>
                            </w:rPr>
                            <w:t> </w:t>
                          </w:r>
                          <w:r>
                            <w:rPr>
                              <w:rFonts w:ascii="Calibri"/>
                              <w:sz w:val="16"/>
                            </w:rPr>
                            <w:t>29</w:t>
                          </w:r>
                          <w:r>
                            <w:rPr>
                              <w:rFonts w:ascii="Calibri"/>
                              <w:spacing w:val="-2"/>
                              <w:sz w:val="16"/>
                            </w:rPr>
                            <w:t> </w:t>
                          </w:r>
                          <w:r>
                            <w:rPr>
                              <w:rFonts w:ascii="Calibri"/>
                              <w:sz w:val="16"/>
                            </w:rPr>
                            <w:t>36</w:t>
                          </w:r>
                          <w:r>
                            <w:rPr>
                              <w:rFonts w:ascii="Calibri"/>
                              <w:spacing w:val="-3"/>
                              <w:sz w:val="16"/>
                            </w:rPr>
                            <w:t> </w:t>
                          </w:r>
                          <w:r>
                            <w:rPr>
                              <w:rFonts w:ascii="Calibri"/>
                              <w:sz w:val="16"/>
                            </w:rPr>
                            <w:t>38</w:t>
                          </w:r>
                          <w:r>
                            <w:rPr>
                              <w:rFonts w:ascii="Calibri"/>
                              <w:spacing w:val="33"/>
                              <w:sz w:val="16"/>
                            </w:rPr>
                            <w:t> </w:t>
                          </w:r>
                          <w:r>
                            <w:rPr>
                              <w:rFonts w:ascii="Calibri"/>
                              <w:sz w:val="16"/>
                            </w:rPr>
                            <w:t>E-mail: </w:t>
                          </w:r>
                          <w:hyperlink r:id="rId1">
                            <w:r>
                              <w:rPr>
                                <w:rFonts w:ascii="Calibri"/>
                                <w:color w:val="0562C1"/>
                                <w:spacing w:val="-2"/>
                                <w:sz w:val="16"/>
                                <w:u w:val="single" w:color="0562C1"/>
                              </w:rPr>
                              <w:t>auditores@lujanauditores.com</w:t>
                            </w:r>
                          </w:hyperlink>
                        </w:p>
                        <w:p>
                          <w:pPr>
                            <w:spacing w:before="0"/>
                            <w:ind w:left="20" w:right="0" w:firstLine="0"/>
                            <w:jc w:val="left"/>
                            <w:rPr>
                              <w:rFonts w:ascii="Calibri" w:hAnsi="Calibri"/>
                              <w:sz w:val="16"/>
                            </w:rPr>
                          </w:pPr>
                          <w:r>
                            <w:rPr>
                              <w:rFonts w:ascii="Calibri" w:hAnsi="Calibri"/>
                              <w:sz w:val="16"/>
                            </w:rPr>
                            <w:t>Web:</w:t>
                          </w:r>
                          <w:r>
                            <w:rPr>
                              <w:rFonts w:ascii="Calibri" w:hAnsi="Calibri"/>
                              <w:spacing w:val="-4"/>
                              <w:sz w:val="16"/>
                            </w:rPr>
                            <w:t> </w:t>
                          </w:r>
                          <w:hyperlink r:id="rId2">
                            <w:r>
                              <w:rPr>
                                <w:rFonts w:ascii="Calibri" w:hAnsi="Calibri"/>
                                <w:color w:val="0562C1"/>
                                <w:sz w:val="16"/>
                                <w:u w:val="single" w:color="0562C1"/>
                              </w:rPr>
                              <w:t>www.lujanauditores.com</w:t>
                            </w:r>
                          </w:hyperlink>
                          <w:r>
                            <w:rPr>
                              <w:rFonts w:ascii="Calibri" w:hAnsi="Calibri"/>
                              <w:color w:val="0562C1"/>
                              <w:spacing w:val="-4"/>
                              <w:sz w:val="16"/>
                              <w:u w:val="single" w:color="0562C1"/>
                            </w:rPr>
                            <w:t> </w:t>
                          </w:r>
                          <w:r>
                            <w:rPr>
                              <w:rFonts w:ascii="Calibri" w:hAnsi="Calibri"/>
                              <w:sz w:val="16"/>
                              <w:u w:val="none"/>
                            </w:rPr>
                            <w:t>C.I.F.:</w:t>
                          </w:r>
                          <w:r>
                            <w:rPr>
                              <w:rFonts w:ascii="Calibri" w:hAnsi="Calibri"/>
                              <w:spacing w:val="-6"/>
                              <w:sz w:val="16"/>
                              <w:u w:val="none"/>
                            </w:rPr>
                            <w:t> </w:t>
                          </w:r>
                          <w:r>
                            <w:rPr>
                              <w:rFonts w:ascii="Calibri" w:hAnsi="Calibri"/>
                              <w:sz w:val="16"/>
                              <w:u w:val="none"/>
                            </w:rPr>
                            <w:t>B35071380</w:t>
                          </w:r>
                          <w:r>
                            <w:rPr>
                              <w:rFonts w:ascii="Calibri" w:hAnsi="Calibri"/>
                              <w:spacing w:val="-4"/>
                              <w:sz w:val="16"/>
                              <w:u w:val="none"/>
                            </w:rPr>
                            <w:t> </w:t>
                          </w:r>
                          <w:r>
                            <w:rPr>
                              <w:rFonts w:ascii="Calibri" w:hAnsi="Calibri"/>
                              <w:sz w:val="16"/>
                              <w:u w:val="none"/>
                            </w:rPr>
                            <w:t>–</w:t>
                          </w:r>
                          <w:r>
                            <w:rPr>
                              <w:rFonts w:ascii="Calibri" w:hAnsi="Calibri"/>
                              <w:spacing w:val="-5"/>
                              <w:sz w:val="16"/>
                              <w:u w:val="none"/>
                            </w:rPr>
                            <w:t> </w:t>
                          </w:r>
                          <w:r>
                            <w:rPr>
                              <w:rFonts w:ascii="Calibri" w:hAnsi="Calibri"/>
                              <w:sz w:val="16"/>
                              <w:u w:val="none"/>
                            </w:rPr>
                            <w:t>R.M.</w:t>
                          </w:r>
                          <w:r>
                            <w:rPr>
                              <w:rFonts w:ascii="Calibri" w:hAnsi="Calibri"/>
                              <w:spacing w:val="-4"/>
                              <w:sz w:val="16"/>
                              <w:u w:val="none"/>
                            </w:rPr>
                            <w:t> </w:t>
                          </w:r>
                          <w:r>
                            <w:rPr>
                              <w:rFonts w:ascii="Calibri" w:hAnsi="Calibri"/>
                              <w:sz w:val="16"/>
                              <w:u w:val="none"/>
                            </w:rPr>
                            <w:t>–</w:t>
                          </w:r>
                          <w:r>
                            <w:rPr>
                              <w:rFonts w:ascii="Calibri" w:hAnsi="Calibri"/>
                              <w:spacing w:val="-5"/>
                              <w:sz w:val="16"/>
                              <w:u w:val="none"/>
                            </w:rPr>
                            <w:t> </w:t>
                          </w:r>
                          <w:r>
                            <w:rPr>
                              <w:rFonts w:ascii="Calibri" w:hAnsi="Calibri"/>
                              <w:sz w:val="16"/>
                              <w:u w:val="none"/>
                            </w:rPr>
                            <w:t>Tomo</w:t>
                          </w:r>
                          <w:r>
                            <w:rPr>
                              <w:rFonts w:ascii="Calibri" w:hAnsi="Calibri"/>
                              <w:spacing w:val="-4"/>
                              <w:sz w:val="16"/>
                              <w:u w:val="none"/>
                            </w:rPr>
                            <w:t> </w:t>
                          </w:r>
                          <w:r>
                            <w:rPr>
                              <w:rFonts w:ascii="Calibri" w:hAnsi="Calibri"/>
                              <w:sz w:val="16"/>
                              <w:u w:val="none"/>
                            </w:rPr>
                            <w:t>1263</w:t>
                          </w:r>
                          <w:r>
                            <w:rPr>
                              <w:rFonts w:ascii="Calibri" w:hAnsi="Calibri"/>
                              <w:spacing w:val="40"/>
                              <w:sz w:val="16"/>
                              <w:u w:val="none"/>
                            </w:rPr>
                            <w:t> </w:t>
                          </w:r>
                          <w:r>
                            <w:rPr>
                              <w:rFonts w:ascii="Calibri" w:hAnsi="Calibri"/>
                              <w:sz w:val="16"/>
                              <w:u w:val="none"/>
                            </w:rPr>
                            <w:t>Folio 14 – Hoja G.C. 14788 - Inscripción 1ª</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1.160004pt;margin-top:754.48999pt;width:229.3pt;height:39.450pt;mso-position-horizontal-relative:page;mso-position-vertical-relative:page;z-index:-15790592" type="#_x0000_t202" id="docshape1" filled="false" stroked="false">
              <v:textbox inset="0,0,0,0">
                <w:txbxContent>
                  <w:p>
                    <w:pPr>
                      <w:spacing w:line="184" w:lineRule="exact" w:before="0"/>
                      <w:ind w:left="20" w:right="0" w:firstLine="0"/>
                      <w:jc w:val="left"/>
                      <w:rPr>
                        <w:rFonts w:ascii="Calibri" w:hAnsi="Calibri"/>
                        <w:sz w:val="16"/>
                      </w:rPr>
                    </w:pPr>
                    <w:r>
                      <w:rPr>
                        <w:rFonts w:ascii="Calibri" w:hAnsi="Calibri"/>
                        <w:sz w:val="16"/>
                      </w:rPr>
                      <w:t>C/</w:t>
                    </w:r>
                    <w:r>
                      <w:rPr>
                        <w:rFonts w:ascii="Calibri" w:hAnsi="Calibri"/>
                        <w:spacing w:val="-5"/>
                        <w:sz w:val="16"/>
                      </w:rPr>
                      <w:t> </w:t>
                    </w:r>
                    <w:r>
                      <w:rPr>
                        <w:rFonts w:ascii="Calibri" w:hAnsi="Calibri"/>
                        <w:sz w:val="16"/>
                      </w:rPr>
                      <w:t>Obispo</w:t>
                    </w:r>
                    <w:r>
                      <w:rPr>
                        <w:rFonts w:ascii="Calibri" w:hAnsi="Calibri"/>
                        <w:spacing w:val="-4"/>
                        <w:sz w:val="16"/>
                      </w:rPr>
                      <w:t> </w:t>
                    </w:r>
                    <w:r>
                      <w:rPr>
                        <w:rFonts w:ascii="Calibri" w:hAnsi="Calibri"/>
                        <w:sz w:val="16"/>
                      </w:rPr>
                      <w:t>Encina,</w:t>
                    </w:r>
                    <w:r>
                      <w:rPr>
                        <w:rFonts w:ascii="Calibri" w:hAnsi="Calibri"/>
                        <w:spacing w:val="-2"/>
                        <w:sz w:val="16"/>
                      </w:rPr>
                      <w:t> </w:t>
                    </w:r>
                    <w:r>
                      <w:rPr>
                        <w:rFonts w:ascii="Calibri" w:hAnsi="Calibri"/>
                        <w:sz w:val="16"/>
                      </w:rPr>
                      <w:t>11</w:t>
                    </w:r>
                    <w:r>
                      <w:rPr>
                        <w:rFonts w:ascii="Calibri" w:hAnsi="Calibri"/>
                        <w:spacing w:val="-4"/>
                        <w:sz w:val="16"/>
                      </w:rPr>
                      <w:t> </w:t>
                    </w:r>
                    <w:r>
                      <w:rPr>
                        <w:rFonts w:ascii="Calibri" w:hAnsi="Calibri"/>
                        <w:sz w:val="16"/>
                      </w:rPr>
                      <w:t>-</w:t>
                    </w:r>
                    <w:r>
                      <w:rPr>
                        <w:rFonts w:ascii="Calibri" w:hAnsi="Calibri"/>
                        <w:spacing w:val="-1"/>
                        <w:sz w:val="16"/>
                      </w:rPr>
                      <w:t> </w:t>
                    </w:r>
                    <w:r>
                      <w:rPr>
                        <w:rFonts w:ascii="Calibri" w:hAnsi="Calibri"/>
                        <w:sz w:val="16"/>
                      </w:rPr>
                      <w:t>1º,</w:t>
                    </w:r>
                    <w:r>
                      <w:rPr>
                        <w:rFonts w:ascii="Calibri" w:hAnsi="Calibri"/>
                        <w:spacing w:val="-3"/>
                        <w:sz w:val="16"/>
                      </w:rPr>
                      <w:t> </w:t>
                    </w:r>
                    <w:r>
                      <w:rPr>
                        <w:rFonts w:ascii="Calibri" w:hAnsi="Calibri"/>
                        <w:sz w:val="16"/>
                      </w:rPr>
                      <w:t>35004</w:t>
                    </w:r>
                    <w:r>
                      <w:rPr>
                        <w:rFonts w:ascii="Calibri" w:hAnsi="Calibri"/>
                        <w:spacing w:val="-3"/>
                        <w:sz w:val="16"/>
                      </w:rPr>
                      <w:t> </w:t>
                    </w:r>
                    <w:r>
                      <w:rPr>
                        <w:rFonts w:ascii="Calibri" w:hAnsi="Calibri"/>
                        <w:sz w:val="16"/>
                      </w:rPr>
                      <w:t>Las</w:t>
                    </w:r>
                    <w:r>
                      <w:rPr>
                        <w:rFonts w:ascii="Calibri" w:hAnsi="Calibri"/>
                        <w:spacing w:val="-6"/>
                        <w:sz w:val="16"/>
                      </w:rPr>
                      <w:t> </w:t>
                    </w:r>
                    <w:r>
                      <w:rPr>
                        <w:rFonts w:ascii="Calibri" w:hAnsi="Calibri"/>
                        <w:sz w:val="16"/>
                      </w:rPr>
                      <w:t>Palmas</w:t>
                    </w:r>
                    <w:r>
                      <w:rPr>
                        <w:rFonts w:ascii="Calibri" w:hAnsi="Calibri"/>
                        <w:spacing w:val="-4"/>
                        <w:sz w:val="16"/>
                      </w:rPr>
                      <w:t> </w:t>
                    </w:r>
                    <w:r>
                      <w:rPr>
                        <w:rFonts w:ascii="Calibri" w:hAnsi="Calibri"/>
                        <w:sz w:val="16"/>
                      </w:rPr>
                      <w:t>de</w:t>
                    </w:r>
                    <w:r>
                      <w:rPr>
                        <w:rFonts w:ascii="Calibri" w:hAnsi="Calibri"/>
                        <w:spacing w:val="-3"/>
                        <w:sz w:val="16"/>
                      </w:rPr>
                      <w:t> </w:t>
                    </w:r>
                    <w:r>
                      <w:rPr>
                        <w:rFonts w:ascii="Calibri" w:hAnsi="Calibri"/>
                        <w:sz w:val="16"/>
                      </w:rPr>
                      <w:t>Gran</w:t>
                    </w:r>
                    <w:r>
                      <w:rPr>
                        <w:rFonts w:ascii="Calibri" w:hAnsi="Calibri"/>
                        <w:spacing w:val="-4"/>
                        <w:sz w:val="16"/>
                      </w:rPr>
                      <w:t> </w:t>
                    </w:r>
                    <w:r>
                      <w:rPr>
                        <w:rFonts w:ascii="Calibri" w:hAnsi="Calibri"/>
                        <w:sz w:val="16"/>
                      </w:rPr>
                      <w:t>Canaria.</w:t>
                    </w:r>
                    <w:r>
                      <w:rPr>
                        <w:rFonts w:ascii="Calibri" w:hAnsi="Calibri"/>
                        <w:spacing w:val="-2"/>
                        <w:sz w:val="16"/>
                      </w:rPr>
                      <w:t> España</w:t>
                    </w:r>
                  </w:p>
                  <w:p>
                    <w:pPr>
                      <w:spacing w:line="195" w:lineRule="exact" w:before="1"/>
                      <w:ind w:left="20" w:right="0" w:firstLine="0"/>
                      <w:jc w:val="left"/>
                      <w:rPr>
                        <w:rFonts w:ascii="Calibri"/>
                        <w:sz w:val="16"/>
                      </w:rPr>
                    </w:pPr>
                    <w:r>
                      <w:rPr>
                        <w:rFonts w:ascii="Calibri"/>
                        <w:sz w:val="16"/>
                      </w:rPr>
                      <w:t>Tel:</w:t>
                    </w:r>
                    <w:r>
                      <w:rPr>
                        <w:rFonts w:ascii="Calibri"/>
                        <w:spacing w:val="-1"/>
                        <w:sz w:val="16"/>
                      </w:rPr>
                      <w:t> </w:t>
                    </w:r>
                    <w:r>
                      <w:rPr>
                        <w:rFonts w:ascii="Calibri"/>
                        <w:sz w:val="16"/>
                      </w:rPr>
                      <w:t>928</w:t>
                    </w:r>
                    <w:r>
                      <w:rPr>
                        <w:rFonts w:ascii="Calibri"/>
                        <w:spacing w:val="-2"/>
                        <w:sz w:val="16"/>
                      </w:rPr>
                      <w:t> </w:t>
                    </w:r>
                    <w:r>
                      <w:rPr>
                        <w:rFonts w:ascii="Calibri"/>
                        <w:sz w:val="16"/>
                      </w:rPr>
                      <w:t>29</w:t>
                    </w:r>
                    <w:r>
                      <w:rPr>
                        <w:rFonts w:ascii="Calibri"/>
                        <w:spacing w:val="-2"/>
                        <w:sz w:val="16"/>
                      </w:rPr>
                      <w:t> </w:t>
                    </w:r>
                    <w:r>
                      <w:rPr>
                        <w:rFonts w:ascii="Calibri"/>
                        <w:sz w:val="16"/>
                      </w:rPr>
                      <w:t>36</w:t>
                    </w:r>
                    <w:r>
                      <w:rPr>
                        <w:rFonts w:ascii="Calibri"/>
                        <w:spacing w:val="-3"/>
                        <w:sz w:val="16"/>
                      </w:rPr>
                      <w:t> </w:t>
                    </w:r>
                    <w:r>
                      <w:rPr>
                        <w:rFonts w:ascii="Calibri"/>
                        <w:sz w:val="16"/>
                      </w:rPr>
                      <w:t>38</w:t>
                    </w:r>
                    <w:r>
                      <w:rPr>
                        <w:rFonts w:ascii="Calibri"/>
                        <w:spacing w:val="33"/>
                        <w:sz w:val="16"/>
                      </w:rPr>
                      <w:t> </w:t>
                    </w:r>
                    <w:r>
                      <w:rPr>
                        <w:rFonts w:ascii="Calibri"/>
                        <w:sz w:val="16"/>
                      </w:rPr>
                      <w:t>E-mail: </w:t>
                    </w:r>
                    <w:hyperlink r:id="rId1">
                      <w:r>
                        <w:rPr>
                          <w:rFonts w:ascii="Calibri"/>
                          <w:color w:val="0562C1"/>
                          <w:spacing w:val="-2"/>
                          <w:sz w:val="16"/>
                          <w:u w:val="single" w:color="0562C1"/>
                        </w:rPr>
                        <w:t>auditores@lujanauditores.com</w:t>
                      </w:r>
                    </w:hyperlink>
                  </w:p>
                  <w:p>
                    <w:pPr>
                      <w:spacing w:before="0"/>
                      <w:ind w:left="20" w:right="0" w:firstLine="0"/>
                      <w:jc w:val="left"/>
                      <w:rPr>
                        <w:rFonts w:ascii="Calibri" w:hAnsi="Calibri"/>
                        <w:sz w:val="16"/>
                      </w:rPr>
                    </w:pPr>
                    <w:r>
                      <w:rPr>
                        <w:rFonts w:ascii="Calibri" w:hAnsi="Calibri"/>
                        <w:sz w:val="16"/>
                      </w:rPr>
                      <w:t>Web:</w:t>
                    </w:r>
                    <w:r>
                      <w:rPr>
                        <w:rFonts w:ascii="Calibri" w:hAnsi="Calibri"/>
                        <w:spacing w:val="-4"/>
                        <w:sz w:val="16"/>
                      </w:rPr>
                      <w:t> </w:t>
                    </w:r>
                    <w:hyperlink r:id="rId2">
                      <w:r>
                        <w:rPr>
                          <w:rFonts w:ascii="Calibri" w:hAnsi="Calibri"/>
                          <w:color w:val="0562C1"/>
                          <w:sz w:val="16"/>
                          <w:u w:val="single" w:color="0562C1"/>
                        </w:rPr>
                        <w:t>www.lujanauditores.com</w:t>
                      </w:r>
                    </w:hyperlink>
                    <w:r>
                      <w:rPr>
                        <w:rFonts w:ascii="Calibri" w:hAnsi="Calibri"/>
                        <w:color w:val="0562C1"/>
                        <w:spacing w:val="-4"/>
                        <w:sz w:val="16"/>
                        <w:u w:val="single" w:color="0562C1"/>
                      </w:rPr>
                      <w:t> </w:t>
                    </w:r>
                    <w:r>
                      <w:rPr>
                        <w:rFonts w:ascii="Calibri" w:hAnsi="Calibri"/>
                        <w:sz w:val="16"/>
                        <w:u w:val="none"/>
                      </w:rPr>
                      <w:t>C.I.F.:</w:t>
                    </w:r>
                    <w:r>
                      <w:rPr>
                        <w:rFonts w:ascii="Calibri" w:hAnsi="Calibri"/>
                        <w:spacing w:val="-6"/>
                        <w:sz w:val="16"/>
                        <w:u w:val="none"/>
                      </w:rPr>
                      <w:t> </w:t>
                    </w:r>
                    <w:r>
                      <w:rPr>
                        <w:rFonts w:ascii="Calibri" w:hAnsi="Calibri"/>
                        <w:sz w:val="16"/>
                        <w:u w:val="none"/>
                      </w:rPr>
                      <w:t>B35071380</w:t>
                    </w:r>
                    <w:r>
                      <w:rPr>
                        <w:rFonts w:ascii="Calibri" w:hAnsi="Calibri"/>
                        <w:spacing w:val="-4"/>
                        <w:sz w:val="16"/>
                        <w:u w:val="none"/>
                      </w:rPr>
                      <w:t> </w:t>
                    </w:r>
                    <w:r>
                      <w:rPr>
                        <w:rFonts w:ascii="Calibri" w:hAnsi="Calibri"/>
                        <w:sz w:val="16"/>
                        <w:u w:val="none"/>
                      </w:rPr>
                      <w:t>–</w:t>
                    </w:r>
                    <w:r>
                      <w:rPr>
                        <w:rFonts w:ascii="Calibri" w:hAnsi="Calibri"/>
                        <w:spacing w:val="-5"/>
                        <w:sz w:val="16"/>
                        <w:u w:val="none"/>
                      </w:rPr>
                      <w:t> </w:t>
                    </w:r>
                    <w:r>
                      <w:rPr>
                        <w:rFonts w:ascii="Calibri" w:hAnsi="Calibri"/>
                        <w:sz w:val="16"/>
                        <w:u w:val="none"/>
                      </w:rPr>
                      <w:t>R.M.</w:t>
                    </w:r>
                    <w:r>
                      <w:rPr>
                        <w:rFonts w:ascii="Calibri" w:hAnsi="Calibri"/>
                        <w:spacing w:val="-4"/>
                        <w:sz w:val="16"/>
                        <w:u w:val="none"/>
                      </w:rPr>
                      <w:t> </w:t>
                    </w:r>
                    <w:r>
                      <w:rPr>
                        <w:rFonts w:ascii="Calibri" w:hAnsi="Calibri"/>
                        <w:sz w:val="16"/>
                        <w:u w:val="none"/>
                      </w:rPr>
                      <w:t>–</w:t>
                    </w:r>
                    <w:r>
                      <w:rPr>
                        <w:rFonts w:ascii="Calibri" w:hAnsi="Calibri"/>
                        <w:spacing w:val="-5"/>
                        <w:sz w:val="16"/>
                        <w:u w:val="none"/>
                      </w:rPr>
                      <w:t> </w:t>
                    </w:r>
                    <w:r>
                      <w:rPr>
                        <w:rFonts w:ascii="Calibri" w:hAnsi="Calibri"/>
                        <w:sz w:val="16"/>
                        <w:u w:val="none"/>
                      </w:rPr>
                      <w:t>Tomo</w:t>
                    </w:r>
                    <w:r>
                      <w:rPr>
                        <w:rFonts w:ascii="Calibri" w:hAnsi="Calibri"/>
                        <w:spacing w:val="-4"/>
                        <w:sz w:val="16"/>
                        <w:u w:val="none"/>
                      </w:rPr>
                      <w:t> </w:t>
                    </w:r>
                    <w:r>
                      <w:rPr>
                        <w:rFonts w:ascii="Calibri" w:hAnsi="Calibri"/>
                        <w:sz w:val="16"/>
                        <w:u w:val="none"/>
                      </w:rPr>
                      <w:t>1263</w:t>
                    </w:r>
                    <w:r>
                      <w:rPr>
                        <w:rFonts w:ascii="Calibri" w:hAnsi="Calibri"/>
                        <w:spacing w:val="40"/>
                        <w:sz w:val="16"/>
                        <w:u w:val="none"/>
                      </w:rPr>
                      <w:t> </w:t>
                    </w:r>
                    <w:r>
                      <w:rPr>
                        <w:rFonts w:ascii="Calibri" w:hAnsi="Calibri"/>
                        <w:sz w:val="16"/>
                        <w:u w:val="none"/>
                      </w:rPr>
                      <w:t>Folio 14 – Hoja G.C. 14788 - Inscripción 1ª</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25376">
          <wp:simplePos x="0" y="0"/>
          <wp:positionH relativeFrom="page">
            <wp:posOffset>5118045</wp:posOffset>
          </wp:positionH>
          <wp:positionV relativeFrom="page">
            <wp:posOffset>510487</wp:posOffset>
          </wp:positionV>
          <wp:extent cx="1301307" cy="47508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01307" cy="4750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9" w:hanging="128"/>
      </w:pPr>
      <w:rPr>
        <w:rFonts w:hint="default" w:ascii="Ebrima" w:hAnsi="Ebrima" w:eastAsia="Ebrima" w:cs="Ebrima"/>
        <w:b w:val="0"/>
        <w:bCs w:val="0"/>
        <w:i w:val="0"/>
        <w:iCs w:val="0"/>
        <w:spacing w:val="0"/>
        <w:w w:val="100"/>
        <w:sz w:val="18"/>
        <w:szCs w:val="18"/>
        <w:lang w:val="es-ES" w:eastAsia="en-US" w:bidi="ar-SA"/>
      </w:rPr>
    </w:lvl>
    <w:lvl w:ilvl="1">
      <w:start w:val="0"/>
      <w:numFmt w:val="bullet"/>
      <w:lvlText w:val="•"/>
      <w:lvlJc w:val="left"/>
      <w:pPr>
        <w:ind w:left="1512" w:hanging="128"/>
      </w:pPr>
      <w:rPr>
        <w:rFonts w:hint="default"/>
        <w:lang w:val="es-ES" w:eastAsia="en-US" w:bidi="ar-SA"/>
      </w:rPr>
    </w:lvl>
    <w:lvl w:ilvl="2">
      <w:start w:val="0"/>
      <w:numFmt w:val="bullet"/>
      <w:lvlText w:val="•"/>
      <w:lvlJc w:val="left"/>
      <w:pPr>
        <w:ind w:left="2305" w:hanging="128"/>
      </w:pPr>
      <w:rPr>
        <w:rFonts w:hint="default"/>
        <w:lang w:val="es-ES" w:eastAsia="en-US" w:bidi="ar-SA"/>
      </w:rPr>
    </w:lvl>
    <w:lvl w:ilvl="3">
      <w:start w:val="0"/>
      <w:numFmt w:val="bullet"/>
      <w:lvlText w:val="•"/>
      <w:lvlJc w:val="left"/>
      <w:pPr>
        <w:ind w:left="3097" w:hanging="128"/>
      </w:pPr>
      <w:rPr>
        <w:rFonts w:hint="default"/>
        <w:lang w:val="es-ES" w:eastAsia="en-US" w:bidi="ar-SA"/>
      </w:rPr>
    </w:lvl>
    <w:lvl w:ilvl="4">
      <w:start w:val="0"/>
      <w:numFmt w:val="bullet"/>
      <w:lvlText w:val="•"/>
      <w:lvlJc w:val="left"/>
      <w:pPr>
        <w:ind w:left="3890" w:hanging="128"/>
      </w:pPr>
      <w:rPr>
        <w:rFonts w:hint="default"/>
        <w:lang w:val="es-ES" w:eastAsia="en-US" w:bidi="ar-SA"/>
      </w:rPr>
    </w:lvl>
    <w:lvl w:ilvl="5">
      <w:start w:val="0"/>
      <w:numFmt w:val="bullet"/>
      <w:lvlText w:val="•"/>
      <w:lvlJc w:val="left"/>
      <w:pPr>
        <w:ind w:left="4683" w:hanging="128"/>
      </w:pPr>
      <w:rPr>
        <w:rFonts w:hint="default"/>
        <w:lang w:val="es-ES" w:eastAsia="en-US" w:bidi="ar-SA"/>
      </w:rPr>
    </w:lvl>
    <w:lvl w:ilvl="6">
      <w:start w:val="0"/>
      <w:numFmt w:val="bullet"/>
      <w:lvlText w:val="•"/>
      <w:lvlJc w:val="left"/>
      <w:pPr>
        <w:ind w:left="5475" w:hanging="128"/>
      </w:pPr>
      <w:rPr>
        <w:rFonts w:hint="default"/>
        <w:lang w:val="es-ES" w:eastAsia="en-US" w:bidi="ar-SA"/>
      </w:rPr>
    </w:lvl>
    <w:lvl w:ilvl="7">
      <w:start w:val="0"/>
      <w:numFmt w:val="bullet"/>
      <w:lvlText w:val="•"/>
      <w:lvlJc w:val="left"/>
      <w:pPr>
        <w:ind w:left="6268" w:hanging="128"/>
      </w:pPr>
      <w:rPr>
        <w:rFonts w:hint="default"/>
        <w:lang w:val="es-ES" w:eastAsia="en-US" w:bidi="ar-SA"/>
      </w:rPr>
    </w:lvl>
    <w:lvl w:ilvl="8">
      <w:start w:val="0"/>
      <w:numFmt w:val="bullet"/>
      <w:lvlText w:val="•"/>
      <w:lvlJc w:val="left"/>
      <w:pPr>
        <w:ind w:left="7061" w:hanging="12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Ebrima" w:hAnsi="Ebrima" w:eastAsia="Ebrima" w:cs="Ebrima"/>
      <w:lang w:val="es-ES" w:eastAsia="en-US" w:bidi="ar-SA"/>
    </w:rPr>
  </w:style>
  <w:style w:styleId="BodyText" w:type="paragraph">
    <w:name w:val="Body Text"/>
    <w:basedOn w:val="Normal"/>
    <w:uiPriority w:val="1"/>
    <w:qFormat/>
    <w:pPr/>
    <w:rPr>
      <w:rFonts w:ascii="Ebrima" w:hAnsi="Ebrima" w:eastAsia="Ebrima" w:cs="Ebrima"/>
      <w:sz w:val="18"/>
      <w:szCs w:val="18"/>
      <w:lang w:val="es-ES" w:eastAsia="en-US" w:bidi="ar-SA"/>
    </w:rPr>
  </w:style>
  <w:style w:styleId="Heading1" w:type="paragraph">
    <w:name w:val="Heading 1"/>
    <w:basedOn w:val="Normal"/>
    <w:uiPriority w:val="1"/>
    <w:qFormat/>
    <w:pPr>
      <w:ind w:left="163"/>
      <w:outlineLvl w:val="1"/>
    </w:pPr>
    <w:rPr>
      <w:rFonts w:ascii="Ebrima" w:hAnsi="Ebrima" w:eastAsia="Ebrima" w:cs="Ebrima"/>
      <w:b/>
      <w:bCs/>
      <w:sz w:val="18"/>
      <w:szCs w:val="18"/>
      <w:lang w:val="es-ES" w:eastAsia="en-US" w:bidi="ar-SA"/>
    </w:rPr>
  </w:style>
  <w:style w:styleId="ListParagraph" w:type="paragraph">
    <w:name w:val="List Paragraph"/>
    <w:basedOn w:val="Normal"/>
    <w:uiPriority w:val="1"/>
    <w:qFormat/>
    <w:pPr>
      <w:spacing w:before="58"/>
      <w:ind w:left="729" w:right="119"/>
      <w:jc w:val="both"/>
    </w:pPr>
    <w:rPr>
      <w:rFonts w:ascii="Ebrima" w:hAnsi="Ebrima" w:eastAsia="Ebrima" w:cs="Ebrim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auditores@lujanauditores.com" TargetMode="External"/><Relationship Id="rId2" Type="http://schemas.openxmlformats.org/officeDocument/2006/relationships/hyperlink" Target="http://www.lujanaudito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Gómez - Luján Auditores, S.L.</dc:creator>
  <dc:description/>
  <dcterms:created xsi:type="dcterms:W3CDTF">2025-04-08T14:26:16Z</dcterms:created>
  <dcterms:modified xsi:type="dcterms:W3CDTF">2025-04-08T14:26:16Z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Acrobat PDFMaker 17 para Word</vt:lpwstr>
  </property>
  <property fmtid="{D5CDD505-2E9C-101B-9397-08002B2CF9AE}" pid="4" name="LastSaved">
    <vt:filetime>2025-04-08T00:00:00Z</vt:filetime>
  </property>
  <property fmtid="{D5CDD505-2E9C-101B-9397-08002B2CF9AE}" pid="5" name="Producer">
    <vt:lpwstr>Adobe PDF Library 17.11.238</vt:lpwstr>
  </property>
  <property fmtid="{D5CDD505-2E9C-101B-9397-08002B2CF9AE}" pid="6" name="SourceModified">
    <vt:lpwstr>D:20250319155252</vt:lpwstr>
  </property>
</Properties>
</file>